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lang w:eastAsia="en-US"/>
        </w:rPr>
        <w:id w:val="971946498"/>
        <w:docPartObj>
          <w:docPartGallery w:val="Cover Pages"/>
          <w:docPartUnique/>
        </w:docPartObj>
      </w:sdtPr>
      <w:sdtEndPr>
        <w:rPr>
          <w:sz w:val="18"/>
          <w:szCs w:val="18"/>
        </w:rPr>
      </w:sdtEndPr>
      <w:sdtContent>
        <w:p w:rsidR="009127E0" w:rsidRDefault="009127E0" w:rsidP="009127E0">
          <w:pPr>
            <w:pStyle w:val="Sansinterligne"/>
            <w:rPr>
              <w:rFonts w:ascii="Tahoma" w:hAnsi="Tahoma" w:cs="Tahoma"/>
              <w:i/>
              <w:sz w:val="20"/>
              <w:szCs w:val="20"/>
            </w:rPr>
          </w:pPr>
        </w:p>
        <w:p w:rsidR="009127E0" w:rsidRDefault="000517DC" w:rsidP="003E12DB">
          <w:pPr>
            <w:pStyle w:val="Sansinterligne"/>
            <w:jc w:val="right"/>
            <w:rPr>
              <w:rFonts w:ascii="Tahoma" w:hAnsi="Tahoma" w:cs="Tahoma"/>
              <w:i/>
              <w:sz w:val="20"/>
              <w:szCs w:val="20"/>
            </w:rPr>
          </w:pPr>
          <w:r>
            <w:rPr>
              <w:rFonts w:ascii="Tahoma" w:hAnsi="Tahoma" w:cs="Tahoma"/>
              <w:i/>
              <w:sz w:val="20"/>
              <w:szCs w:val="20"/>
            </w:rPr>
            <w:t xml:space="preserve">Communiqué de presse – 28 juin 2017 </w:t>
          </w:r>
        </w:p>
        <w:p w:rsidR="000517DC" w:rsidRDefault="000517DC" w:rsidP="000517DC">
          <w:pPr>
            <w:pStyle w:val="Sansinterligne"/>
            <w:jc w:val="right"/>
            <w:rPr>
              <w:rFonts w:ascii="Tahoma" w:hAnsi="Tahoma" w:cs="Tahoma"/>
              <w:i/>
              <w:sz w:val="20"/>
              <w:szCs w:val="20"/>
            </w:rPr>
          </w:pPr>
        </w:p>
        <w:p w:rsidR="000517DC" w:rsidRPr="009127E0" w:rsidRDefault="000517DC" w:rsidP="000517DC">
          <w:pPr>
            <w:pStyle w:val="Sansinterligne"/>
            <w:jc w:val="right"/>
            <w:rPr>
              <w:rFonts w:ascii="Tahoma" w:hAnsi="Tahoma" w:cs="Tahoma"/>
              <w:i/>
              <w:sz w:val="20"/>
              <w:szCs w:val="20"/>
            </w:rPr>
          </w:pPr>
        </w:p>
        <w:p w:rsidR="006C49BD" w:rsidRDefault="00D4626E" w:rsidP="003E12DB">
          <w:pPr>
            <w:jc w:val="center"/>
            <w:rPr>
              <w:rFonts w:ascii="Tahoma" w:hAnsi="Tahoma" w:cs="Tahoma"/>
              <w:b/>
              <w:sz w:val="40"/>
              <w:szCs w:val="40"/>
            </w:rPr>
          </w:pPr>
          <w:r>
            <w:rPr>
              <w:rFonts w:ascii="Tahoma" w:hAnsi="Tahoma" w:cs="Tahoma"/>
              <w:b/>
              <w:sz w:val="40"/>
              <w:szCs w:val="40"/>
            </w:rPr>
            <w:t>CREDIXIA a</w:t>
          </w:r>
          <w:r w:rsidR="000517DC">
            <w:rPr>
              <w:rFonts w:ascii="Tahoma" w:hAnsi="Tahoma" w:cs="Tahoma"/>
              <w:b/>
              <w:sz w:val="40"/>
              <w:szCs w:val="40"/>
            </w:rPr>
            <w:t xml:space="preserve">nalyse l’évolution des taux de crédit immobilier </w:t>
          </w:r>
          <w:r w:rsidR="00A358A8">
            <w:rPr>
              <w:rFonts w:ascii="Tahoma" w:hAnsi="Tahoma" w:cs="Tahoma"/>
              <w:b/>
              <w:sz w:val="40"/>
              <w:szCs w:val="40"/>
            </w:rPr>
            <w:t>depuis 2009</w:t>
          </w:r>
          <w:r w:rsidR="000517DC">
            <w:rPr>
              <w:rFonts w:ascii="Tahoma" w:hAnsi="Tahoma" w:cs="Tahoma"/>
              <w:b/>
              <w:sz w:val="40"/>
              <w:szCs w:val="40"/>
            </w:rPr>
            <w:t xml:space="preserve"> </w:t>
          </w:r>
        </w:p>
        <w:p w:rsidR="003E12DB" w:rsidRDefault="003E12DB" w:rsidP="00A97A50">
          <w:pPr>
            <w:jc w:val="both"/>
            <w:rPr>
              <w:rFonts w:ascii="Tahoma" w:hAnsi="Tahoma" w:cs="Tahoma"/>
              <w:b/>
              <w:sz w:val="40"/>
              <w:szCs w:val="40"/>
            </w:rPr>
          </w:pPr>
        </w:p>
        <w:p w:rsidR="00B23965" w:rsidRDefault="00B23965" w:rsidP="00A25B97">
          <w:pPr>
            <w:jc w:val="both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L</w:t>
          </w:r>
          <w:r w:rsidR="006C49BD" w:rsidRPr="001B564D">
            <w:rPr>
              <w:rFonts w:ascii="Tahoma" w:hAnsi="Tahoma" w:cs="Tahoma"/>
              <w:sz w:val="20"/>
              <w:szCs w:val="20"/>
            </w:rPr>
            <w:t xml:space="preserve">’évolution des taux de crédit immobilier </w:t>
          </w:r>
          <w:r w:rsidR="00A25B97">
            <w:rPr>
              <w:rFonts w:ascii="Tahoma" w:hAnsi="Tahoma" w:cs="Tahoma"/>
              <w:sz w:val="20"/>
              <w:szCs w:val="20"/>
            </w:rPr>
            <w:t>est</w:t>
          </w:r>
          <w:r w:rsidR="00D4626E">
            <w:rPr>
              <w:rFonts w:ascii="Tahoma" w:hAnsi="Tahoma" w:cs="Tahoma"/>
              <w:sz w:val="20"/>
              <w:szCs w:val="20"/>
            </w:rPr>
            <w:t xml:space="preserve"> une grande interrogation pour</w:t>
          </w:r>
          <w:r>
            <w:rPr>
              <w:rFonts w:ascii="Tahoma" w:hAnsi="Tahoma" w:cs="Tahoma"/>
              <w:sz w:val="20"/>
              <w:szCs w:val="20"/>
            </w:rPr>
            <w:t xml:space="preserve"> tous</w:t>
          </w:r>
          <w:r w:rsidR="00D4626E">
            <w:rPr>
              <w:rFonts w:ascii="Tahoma" w:hAnsi="Tahoma" w:cs="Tahoma"/>
              <w:sz w:val="20"/>
              <w:szCs w:val="20"/>
            </w:rPr>
            <w:t xml:space="preserve"> les Français</w:t>
          </w:r>
          <w:r>
            <w:rPr>
              <w:rFonts w:ascii="Tahoma" w:hAnsi="Tahoma" w:cs="Tahoma"/>
              <w:sz w:val="20"/>
              <w:szCs w:val="20"/>
            </w:rPr>
            <w:t xml:space="preserve">. </w:t>
          </w:r>
          <w:r w:rsidR="00A97A50" w:rsidRPr="00A97A50">
            <w:rPr>
              <w:rFonts w:ascii="Tahoma" w:hAnsi="Tahoma" w:cs="Tahoma"/>
              <w:sz w:val="20"/>
              <w:szCs w:val="20"/>
            </w:rPr>
            <w:t xml:space="preserve">Selon </w:t>
          </w:r>
          <w:r w:rsidR="00A97A50">
            <w:rPr>
              <w:rFonts w:ascii="Tahoma" w:hAnsi="Tahoma" w:cs="Tahoma"/>
              <w:sz w:val="20"/>
              <w:szCs w:val="20"/>
            </w:rPr>
            <w:t xml:space="preserve">nos </w:t>
          </w:r>
          <w:r w:rsidR="00DF166B">
            <w:rPr>
              <w:rFonts w:ascii="Tahoma" w:hAnsi="Tahoma" w:cs="Tahoma"/>
              <w:sz w:val="20"/>
              <w:szCs w:val="20"/>
            </w:rPr>
            <w:t xml:space="preserve">dernières </w:t>
          </w:r>
          <w:r w:rsidR="00D04A7C">
            <w:rPr>
              <w:rFonts w:ascii="Tahoma" w:hAnsi="Tahoma" w:cs="Tahoma"/>
              <w:sz w:val="20"/>
              <w:szCs w:val="20"/>
            </w:rPr>
            <w:t>analyses, les</w:t>
          </w:r>
          <w:r w:rsidRPr="00B23965">
            <w:rPr>
              <w:rFonts w:ascii="Tahoma" w:hAnsi="Tahoma" w:cs="Tahoma"/>
              <w:sz w:val="20"/>
              <w:szCs w:val="20"/>
            </w:rPr>
            <w:t xml:space="preserve"> taux de crédit </w:t>
          </w:r>
          <w:r w:rsidR="00A97A50">
            <w:rPr>
              <w:rFonts w:ascii="Tahoma" w:hAnsi="Tahoma" w:cs="Tahoma"/>
              <w:sz w:val="20"/>
              <w:szCs w:val="20"/>
            </w:rPr>
            <w:t>devrai</w:t>
          </w:r>
          <w:r w:rsidR="00D04A7C">
            <w:rPr>
              <w:rFonts w:ascii="Tahoma" w:hAnsi="Tahoma" w:cs="Tahoma"/>
              <w:sz w:val="20"/>
              <w:szCs w:val="20"/>
            </w:rPr>
            <w:t>en</w:t>
          </w:r>
          <w:r w:rsidR="00A97A50">
            <w:rPr>
              <w:rFonts w:ascii="Tahoma" w:hAnsi="Tahoma" w:cs="Tahoma"/>
              <w:sz w:val="20"/>
              <w:szCs w:val="20"/>
            </w:rPr>
            <w:t xml:space="preserve">t rester </w:t>
          </w:r>
          <w:r w:rsidRPr="00B23965">
            <w:rPr>
              <w:rFonts w:ascii="Tahoma" w:hAnsi="Tahoma" w:cs="Tahoma"/>
              <w:sz w:val="20"/>
              <w:szCs w:val="20"/>
            </w:rPr>
            <w:t>très favorable</w:t>
          </w:r>
          <w:r w:rsidR="00D04A7C">
            <w:rPr>
              <w:rFonts w:ascii="Tahoma" w:hAnsi="Tahoma" w:cs="Tahoma"/>
              <w:sz w:val="20"/>
              <w:szCs w:val="20"/>
            </w:rPr>
            <w:t>s</w:t>
          </w:r>
          <w:r w:rsidR="00A97A50">
            <w:rPr>
              <w:rFonts w:ascii="Tahoma" w:hAnsi="Tahoma" w:cs="Tahoma"/>
              <w:sz w:val="20"/>
              <w:szCs w:val="20"/>
            </w:rPr>
            <w:t xml:space="preserve"> jusqu’à la fin de l’année</w:t>
          </w:r>
          <w:r w:rsidRPr="00B23965">
            <w:rPr>
              <w:rFonts w:ascii="Tahoma" w:hAnsi="Tahoma" w:cs="Tahoma"/>
              <w:sz w:val="20"/>
              <w:szCs w:val="20"/>
            </w:rPr>
            <w:t>.</w:t>
          </w:r>
          <w:r w:rsidR="00A97A50" w:rsidRPr="00A97A50">
            <w:t xml:space="preserve"> </w:t>
          </w:r>
          <w:r w:rsidR="00A97A50">
            <w:rPr>
              <w:rFonts w:ascii="Tahoma" w:hAnsi="Tahoma" w:cs="Tahoma"/>
              <w:sz w:val="20"/>
              <w:szCs w:val="20"/>
            </w:rPr>
            <w:t>La</w:t>
          </w:r>
          <w:r w:rsidR="00A97A50" w:rsidRPr="00A97A50">
            <w:rPr>
              <w:rFonts w:ascii="Tahoma" w:hAnsi="Tahoma" w:cs="Tahoma"/>
              <w:sz w:val="20"/>
              <w:szCs w:val="20"/>
            </w:rPr>
            <w:t xml:space="preserve"> situation </w:t>
          </w:r>
          <w:r w:rsidR="00A97A50">
            <w:rPr>
              <w:rFonts w:ascii="Tahoma" w:hAnsi="Tahoma" w:cs="Tahoma"/>
              <w:sz w:val="20"/>
              <w:szCs w:val="20"/>
            </w:rPr>
            <w:t xml:space="preserve">actuelle est </w:t>
          </w:r>
          <w:r w:rsidR="00A97A50" w:rsidRPr="00A97A50">
            <w:rPr>
              <w:rFonts w:ascii="Tahoma" w:hAnsi="Tahoma" w:cs="Tahoma"/>
              <w:sz w:val="20"/>
              <w:szCs w:val="20"/>
            </w:rPr>
            <w:t xml:space="preserve">largement profitable aux personnes souhaitant contracter un crédit </w:t>
          </w:r>
          <w:r w:rsidR="00A97A50">
            <w:rPr>
              <w:rFonts w:ascii="Tahoma" w:hAnsi="Tahoma" w:cs="Tahoma"/>
              <w:sz w:val="20"/>
              <w:szCs w:val="20"/>
            </w:rPr>
            <w:t xml:space="preserve">immobilier. </w:t>
          </w:r>
        </w:p>
        <w:p w:rsidR="00A25B97" w:rsidRDefault="00A25B97" w:rsidP="00A25B97">
          <w:pPr>
            <w:jc w:val="both"/>
            <w:rPr>
              <w:rFonts w:ascii="Tahoma" w:hAnsi="Tahoma" w:cs="Tahoma"/>
              <w:strike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Afin d’apporter quelques réponses</w:t>
          </w:r>
          <w:r w:rsidR="006C49BD" w:rsidRPr="001B564D">
            <w:rPr>
              <w:rFonts w:ascii="Tahoma" w:hAnsi="Tahoma" w:cs="Tahoma"/>
              <w:sz w:val="20"/>
              <w:szCs w:val="20"/>
            </w:rPr>
            <w:t xml:space="preserve"> sur les causes et les conséquence</w:t>
          </w:r>
          <w:r w:rsidR="00A97A50">
            <w:rPr>
              <w:rFonts w:ascii="Tahoma" w:hAnsi="Tahoma" w:cs="Tahoma"/>
              <w:sz w:val="20"/>
              <w:szCs w:val="20"/>
            </w:rPr>
            <w:t xml:space="preserve">s de ces </w:t>
          </w:r>
          <w:r>
            <w:rPr>
              <w:rFonts w:ascii="Tahoma" w:hAnsi="Tahoma" w:cs="Tahoma"/>
              <w:sz w:val="20"/>
              <w:szCs w:val="20"/>
            </w:rPr>
            <w:t>fluctuations</w:t>
          </w:r>
          <w:r w:rsidR="00A97A50">
            <w:rPr>
              <w:rFonts w:ascii="Tahoma" w:hAnsi="Tahoma" w:cs="Tahoma"/>
              <w:sz w:val="20"/>
              <w:szCs w:val="20"/>
            </w:rPr>
            <w:t>, CREDIXIA retrace l’évolution des taux</w:t>
          </w:r>
          <w:r>
            <w:rPr>
              <w:rFonts w:ascii="Tahoma" w:hAnsi="Tahoma" w:cs="Tahoma"/>
              <w:sz w:val="20"/>
              <w:szCs w:val="20"/>
            </w:rPr>
            <w:t xml:space="preserve"> de crédit immobilier </w:t>
          </w:r>
          <w:r w:rsidR="00A358A8">
            <w:rPr>
              <w:rFonts w:ascii="Tahoma" w:hAnsi="Tahoma" w:cs="Tahoma"/>
              <w:sz w:val="20"/>
              <w:szCs w:val="20"/>
            </w:rPr>
            <w:t>depuis 2009</w:t>
          </w:r>
          <w:r w:rsidR="00DF166B">
            <w:rPr>
              <w:rFonts w:ascii="Tahoma" w:hAnsi="Tahoma" w:cs="Tahoma"/>
              <w:sz w:val="20"/>
              <w:szCs w:val="20"/>
            </w:rPr>
            <w:t xml:space="preserve">. </w:t>
          </w:r>
          <w:r w:rsidR="00A97A50">
            <w:rPr>
              <w:rFonts w:ascii="Tahoma" w:hAnsi="Tahoma" w:cs="Tahoma"/>
              <w:sz w:val="20"/>
              <w:szCs w:val="20"/>
            </w:rPr>
            <w:t xml:space="preserve"> </w:t>
          </w:r>
          <w:r w:rsidR="006C49BD" w:rsidRPr="001B564D">
            <w:rPr>
              <w:rFonts w:ascii="Tahoma" w:hAnsi="Tahoma" w:cs="Tahoma"/>
              <w:sz w:val="20"/>
              <w:szCs w:val="20"/>
            </w:rPr>
            <w:t xml:space="preserve"> </w:t>
          </w:r>
        </w:p>
        <w:p w:rsidR="00A25B97" w:rsidRDefault="00DF166B" w:rsidP="00A25B97">
          <w:pPr>
            <w:jc w:val="both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Tout d’abord, un rappel. </w:t>
          </w:r>
          <w:r w:rsidR="00A25B97">
            <w:rPr>
              <w:rFonts w:ascii="Tahoma" w:hAnsi="Tahoma" w:cs="Tahoma"/>
              <w:sz w:val="20"/>
              <w:szCs w:val="20"/>
            </w:rPr>
            <w:t>Entre 2008 et 2009, la France est m</w:t>
          </w:r>
          <w:r w:rsidR="006C49BD" w:rsidRPr="001B564D">
            <w:rPr>
              <w:rFonts w:ascii="Tahoma" w:hAnsi="Tahoma" w:cs="Tahoma"/>
              <w:sz w:val="20"/>
              <w:szCs w:val="20"/>
            </w:rPr>
            <w:t>arquée par de multiples crises à l’échelle financière et écon</w:t>
          </w:r>
          <w:r w:rsidR="006C49BD">
            <w:rPr>
              <w:rFonts w:ascii="Tahoma" w:hAnsi="Tahoma" w:cs="Tahoma"/>
              <w:sz w:val="20"/>
              <w:szCs w:val="20"/>
            </w:rPr>
            <w:t>omique</w:t>
          </w:r>
          <w:r w:rsidR="006C49BD" w:rsidRPr="001B564D">
            <w:rPr>
              <w:rFonts w:ascii="Tahoma" w:hAnsi="Tahoma" w:cs="Tahoma"/>
              <w:sz w:val="20"/>
              <w:szCs w:val="20"/>
            </w:rPr>
            <w:t xml:space="preserve"> entrainant</w:t>
          </w:r>
          <w:r w:rsidR="00A25B97">
            <w:rPr>
              <w:rFonts w:ascii="Tahoma" w:hAnsi="Tahoma" w:cs="Tahoma"/>
              <w:sz w:val="20"/>
              <w:szCs w:val="20"/>
            </w:rPr>
            <w:t xml:space="preserve"> ainsi</w:t>
          </w:r>
          <w:r w:rsidR="006C49BD" w:rsidRPr="001B564D">
            <w:rPr>
              <w:rFonts w:ascii="Tahoma" w:hAnsi="Tahoma" w:cs="Tahoma"/>
              <w:sz w:val="20"/>
              <w:szCs w:val="20"/>
            </w:rPr>
            <w:t xml:space="preserve"> la chute du marché de l’immobilier. </w:t>
          </w:r>
          <w:r w:rsidR="00A25B97" w:rsidRPr="00A25B97">
            <w:rPr>
              <w:rFonts w:ascii="Tahoma" w:hAnsi="Tahoma" w:cs="Tahoma"/>
              <w:sz w:val="20"/>
              <w:szCs w:val="20"/>
            </w:rPr>
            <w:t xml:space="preserve">La </w:t>
          </w:r>
          <w:r w:rsidR="00116BCB">
            <w:rPr>
              <w:rFonts w:ascii="Tahoma" w:hAnsi="Tahoma" w:cs="Tahoma"/>
              <w:sz w:val="20"/>
              <w:szCs w:val="20"/>
            </w:rPr>
            <w:t>bulle immobilière</w:t>
          </w:r>
          <w:r w:rsidR="00A25B97" w:rsidRPr="00A25B97">
            <w:rPr>
              <w:rFonts w:ascii="Tahoma" w:hAnsi="Tahoma" w:cs="Tahoma"/>
              <w:sz w:val="20"/>
              <w:szCs w:val="20"/>
            </w:rPr>
            <w:t xml:space="preserve"> de 2008-2009 est principalement due à la </w:t>
          </w:r>
          <w:r w:rsidR="00116BCB">
            <w:rPr>
              <w:rFonts w:ascii="Tahoma" w:hAnsi="Tahoma" w:cs="Tahoma"/>
              <w:sz w:val="20"/>
              <w:szCs w:val="20"/>
            </w:rPr>
            <w:t>flambée des</w:t>
          </w:r>
          <w:r w:rsidR="00A25B97" w:rsidRPr="00A25B97">
            <w:rPr>
              <w:rFonts w:ascii="Tahoma" w:hAnsi="Tahoma" w:cs="Tahoma"/>
              <w:sz w:val="20"/>
              <w:szCs w:val="20"/>
            </w:rPr>
            <w:t xml:space="preserve"> prix de la pierre qui a fait chuter la demande.</w:t>
          </w:r>
          <w:r>
            <w:rPr>
              <w:rFonts w:ascii="Tahoma" w:hAnsi="Tahoma" w:cs="Tahoma"/>
              <w:sz w:val="20"/>
              <w:szCs w:val="20"/>
            </w:rPr>
            <w:t xml:space="preserve"> </w:t>
          </w:r>
          <w:r w:rsidR="00D04A7C">
            <w:rPr>
              <w:rFonts w:ascii="Tahoma" w:hAnsi="Tahoma" w:cs="Tahoma"/>
              <w:sz w:val="20"/>
              <w:szCs w:val="20"/>
            </w:rPr>
            <w:t>Heureusement, c</w:t>
          </w:r>
          <w:r w:rsidR="00116BCB">
            <w:rPr>
              <w:rFonts w:ascii="Tahoma" w:hAnsi="Tahoma" w:cs="Tahoma"/>
              <w:sz w:val="20"/>
              <w:szCs w:val="20"/>
            </w:rPr>
            <w:t xml:space="preserve">ette crise économique </w:t>
          </w:r>
          <w:r w:rsidR="00116BCB" w:rsidRPr="00A25B97">
            <w:rPr>
              <w:rFonts w:ascii="Tahoma" w:hAnsi="Tahoma" w:cs="Tahoma"/>
              <w:sz w:val="20"/>
              <w:szCs w:val="20"/>
            </w:rPr>
            <w:t xml:space="preserve">dans le secteur immobilier </w:t>
          </w:r>
          <w:r w:rsidR="00116BCB">
            <w:rPr>
              <w:rFonts w:ascii="Tahoma" w:hAnsi="Tahoma" w:cs="Tahoma"/>
              <w:sz w:val="20"/>
              <w:szCs w:val="20"/>
            </w:rPr>
            <w:t xml:space="preserve">a permis de freiner l’envolée des prix, notamment dans l’ancien. </w:t>
          </w:r>
        </w:p>
        <w:p w:rsidR="00A358A8" w:rsidRDefault="003E3668" w:rsidP="003E3668">
          <w:pPr>
            <w:jc w:val="both"/>
            <w:rPr>
              <w:rFonts w:ascii="Tahoma" w:hAnsi="Tahoma" w:cs="Tahoma"/>
              <w:sz w:val="20"/>
              <w:szCs w:val="20"/>
            </w:rPr>
          </w:pPr>
          <w:r w:rsidRPr="003E3668">
            <w:rPr>
              <w:rFonts w:ascii="Tahoma" w:hAnsi="Tahoma" w:cs="Tahoma"/>
              <w:sz w:val="20"/>
              <w:szCs w:val="20"/>
            </w:rPr>
            <w:t xml:space="preserve">Alors que l'année 2012 </w:t>
          </w:r>
          <w:r w:rsidR="00A358A8">
            <w:rPr>
              <w:rFonts w:ascii="Tahoma" w:hAnsi="Tahoma" w:cs="Tahoma"/>
              <w:sz w:val="20"/>
              <w:szCs w:val="20"/>
            </w:rPr>
            <w:t xml:space="preserve">s’achève avec des niveaux de taux </w:t>
          </w:r>
          <w:r w:rsidRPr="003E3668">
            <w:rPr>
              <w:rFonts w:ascii="Tahoma" w:hAnsi="Tahoma" w:cs="Tahoma"/>
              <w:sz w:val="20"/>
              <w:szCs w:val="20"/>
            </w:rPr>
            <w:t xml:space="preserve">historiquement bas, l'année 2013 </w:t>
          </w:r>
          <w:r w:rsidR="00A358A8">
            <w:rPr>
              <w:rFonts w:ascii="Tahoma" w:hAnsi="Tahoma" w:cs="Tahoma"/>
              <w:sz w:val="20"/>
              <w:szCs w:val="20"/>
            </w:rPr>
            <w:t>démarre sur des chapeaux de roues n</w:t>
          </w:r>
          <w:r w:rsidR="00A358A8" w:rsidRPr="00A358A8">
            <w:rPr>
              <w:rFonts w:ascii="Tahoma" w:hAnsi="Tahoma" w:cs="Tahoma"/>
              <w:sz w:val="20"/>
              <w:szCs w:val="20"/>
            </w:rPr>
            <w:t xml:space="preserve">otamment </w:t>
          </w:r>
          <w:r w:rsidR="00A358A8">
            <w:rPr>
              <w:rFonts w:ascii="Tahoma" w:hAnsi="Tahoma" w:cs="Tahoma"/>
              <w:sz w:val="20"/>
              <w:szCs w:val="20"/>
            </w:rPr>
            <w:t xml:space="preserve">grâce à </w:t>
          </w:r>
          <w:r w:rsidR="00A358A8" w:rsidRPr="00A358A8">
            <w:rPr>
              <w:rFonts w:ascii="Tahoma" w:hAnsi="Tahoma" w:cs="Tahoma"/>
              <w:sz w:val="20"/>
              <w:szCs w:val="20"/>
            </w:rPr>
            <w:t>une chute du taux d'emprunt d'Etat et d'une politique offensive menée par les banques dans un marché en repli.</w:t>
          </w:r>
          <w:r w:rsidR="00A358A8">
            <w:rPr>
              <w:rFonts w:ascii="Tahoma" w:hAnsi="Tahoma" w:cs="Tahoma"/>
              <w:sz w:val="20"/>
              <w:szCs w:val="20"/>
            </w:rPr>
            <w:t xml:space="preserve"> Malgré des fluctuations à la hausse au second semestre, l’année 2013 se termine </w:t>
          </w:r>
          <w:r w:rsidR="008515B1">
            <w:rPr>
              <w:rFonts w:ascii="Tahoma" w:hAnsi="Tahoma" w:cs="Tahoma"/>
              <w:sz w:val="20"/>
              <w:szCs w:val="20"/>
            </w:rPr>
            <w:t xml:space="preserve">sur des taux en baisse (3,35% sur 20 ans – 12/2013) </w:t>
          </w:r>
        </w:p>
        <w:p w:rsidR="000411EC" w:rsidRDefault="00C8176E" w:rsidP="00553952">
          <w:pPr>
            <w:jc w:val="both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L’</w:t>
          </w:r>
          <w:r w:rsidR="00102D5F">
            <w:rPr>
              <w:rFonts w:ascii="Tahoma" w:hAnsi="Tahoma" w:cs="Tahoma"/>
              <w:sz w:val="20"/>
              <w:szCs w:val="20"/>
            </w:rPr>
            <w:t>année 2014 est marquée par la baisse</w:t>
          </w:r>
          <w:r w:rsidR="00794583">
            <w:rPr>
              <w:rFonts w:ascii="Tahoma" w:hAnsi="Tahoma" w:cs="Tahoma"/>
              <w:sz w:val="20"/>
              <w:szCs w:val="20"/>
            </w:rPr>
            <w:t xml:space="preserve"> des</w:t>
          </w:r>
          <w:r>
            <w:rPr>
              <w:rFonts w:ascii="Tahoma" w:hAnsi="Tahoma" w:cs="Tahoma"/>
              <w:sz w:val="20"/>
              <w:szCs w:val="20"/>
            </w:rPr>
            <w:t xml:space="preserve"> taux. Afin de</w:t>
          </w:r>
          <w:r w:rsidR="00CC5EF9">
            <w:rPr>
              <w:rFonts w:ascii="Tahoma" w:hAnsi="Tahoma" w:cs="Tahoma"/>
              <w:sz w:val="20"/>
              <w:szCs w:val="20"/>
            </w:rPr>
            <w:t xml:space="preserve"> soutenir le marché</w:t>
          </w:r>
          <w:r>
            <w:rPr>
              <w:rFonts w:ascii="Tahoma" w:hAnsi="Tahoma" w:cs="Tahoma"/>
              <w:sz w:val="20"/>
              <w:szCs w:val="20"/>
            </w:rPr>
            <w:t xml:space="preserve"> immobilier</w:t>
          </w:r>
          <w:r w:rsidR="00CC5EF9">
            <w:rPr>
              <w:rFonts w:ascii="Tahoma" w:hAnsi="Tahoma" w:cs="Tahoma"/>
              <w:sz w:val="20"/>
              <w:szCs w:val="20"/>
            </w:rPr>
            <w:t>,</w:t>
          </w:r>
          <w:r w:rsidR="00D4626E">
            <w:rPr>
              <w:rFonts w:ascii="Tahoma" w:hAnsi="Tahoma" w:cs="Tahoma"/>
              <w:sz w:val="20"/>
              <w:szCs w:val="20"/>
            </w:rPr>
            <w:t xml:space="preserve"> le gouvernement</w:t>
          </w:r>
          <w:r w:rsidR="00CC5EF9">
            <w:rPr>
              <w:rFonts w:ascii="Tahoma" w:hAnsi="Tahoma" w:cs="Tahoma"/>
              <w:sz w:val="20"/>
              <w:szCs w:val="20"/>
            </w:rPr>
            <w:t xml:space="preserve"> met en place</w:t>
          </w:r>
          <w:r w:rsidR="00D4626E">
            <w:rPr>
              <w:rFonts w:ascii="Tahoma" w:hAnsi="Tahoma" w:cs="Tahoma"/>
              <w:sz w:val="20"/>
              <w:szCs w:val="20"/>
            </w:rPr>
            <w:t xml:space="preserve"> </w:t>
          </w:r>
          <w:r w:rsidR="00CC5EF9">
            <w:rPr>
              <w:rFonts w:ascii="Tahoma" w:hAnsi="Tahoma" w:cs="Tahoma"/>
              <w:sz w:val="20"/>
              <w:szCs w:val="20"/>
            </w:rPr>
            <w:t>la loi Duflot. Ce</w:t>
          </w:r>
          <w:r w:rsidR="00CC5EF9" w:rsidRPr="00CC5EF9">
            <w:rPr>
              <w:rFonts w:ascii="Tahoma" w:hAnsi="Tahoma" w:cs="Tahoma"/>
              <w:sz w:val="20"/>
              <w:szCs w:val="20"/>
            </w:rPr>
            <w:t xml:space="preserve"> dispositif</w:t>
          </w:r>
          <w:r>
            <w:rPr>
              <w:rFonts w:ascii="Tahoma" w:hAnsi="Tahoma" w:cs="Tahoma"/>
              <w:sz w:val="20"/>
              <w:szCs w:val="20"/>
            </w:rPr>
            <w:t>, qui succède à la loi Scellier,</w:t>
          </w:r>
          <w:r w:rsidR="00CC5EF9" w:rsidRPr="00CC5EF9">
            <w:rPr>
              <w:rFonts w:ascii="Tahoma" w:hAnsi="Tahoma" w:cs="Tahoma"/>
              <w:sz w:val="20"/>
              <w:szCs w:val="20"/>
            </w:rPr>
            <w:t xml:space="preserve"> permet </w:t>
          </w:r>
          <w:r w:rsidR="00CC5EF9">
            <w:rPr>
              <w:rFonts w:ascii="Tahoma" w:hAnsi="Tahoma" w:cs="Tahoma"/>
              <w:sz w:val="20"/>
              <w:szCs w:val="20"/>
            </w:rPr>
            <w:t>aux investisseurs ayant acheté</w:t>
          </w:r>
          <w:r>
            <w:rPr>
              <w:rFonts w:ascii="Tahoma" w:hAnsi="Tahoma" w:cs="Tahoma"/>
              <w:sz w:val="20"/>
              <w:szCs w:val="20"/>
            </w:rPr>
            <w:t>s</w:t>
          </w:r>
          <w:r w:rsidR="00CC5EF9">
            <w:rPr>
              <w:rFonts w:ascii="Tahoma" w:hAnsi="Tahoma" w:cs="Tahoma"/>
              <w:sz w:val="20"/>
              <w:szCs w:val="20"/>
            </w:rPr>
            <w:t xml:space="preserve"> dans l’immobilier neuf d’obtenir </w:t>
          </w:r>
          <w:r w:rsidR="00CC5EF9" w:rsidRPr="00CC5EF9">
            <w:rPr>
              <w:rFonts w:ascii="Tahoma" w:hAnsi="Tahoma" w:cs="Tahoma"/>
              <w:sz w:val="20"/>
              <w:szCs w:val="20"/>
            </w:rPr>
            <w:t>une réduction d'impôt</w:t>
          </w:r>
          <w:r>
            <w:rPr>
              <w:rFonts w:ascii="Tahoma" w:hAnsi="Tahoma" w:cs="Tahoma"/>
              <w:sz w:val="20"/>
              <w:szCs w:val="20"/>
            </w:rPr>
            <w:t>.</w:t>
          </w:r>
          <w:r w:rsidR="00012F78">
            <w:rPr>
              <w:rFonts w:ascii="Tahoma" w:hAnsi="Tahoma" w:cs="Tahoma"/>
              <w:sz w:val="20"/>
              <w:szCs w:val="20"/>
            </w:rPr>
            <w:t xml:space="preserve"> Tous les professionnels s’accordent à dire que cette loi n’a pas eu l’effet escompté. </w:t>
          </w:r>
        </w:p>
        <w:p w:rsidR="00B23965" w:rsidRPr="00B23965" w:rsidRDefault="006C49BD" w:rsidP="000411EC">
          <w:pPr>
            <w:jc w:val="both"/>
            <w:rPr>
              <w:rFonts w:ascii="Tahoma" w:hAnsi="Tahoma" w:cs="Tahoma"/>
              <w:sz w:val="20"/>
              <w:szCs w:val="20"/>
            </w:rPr>
          </w:pPr>
          <w:r w:rsidRPr="001B564D">
            <w:rPr>
              <w:rFonts w:ascii="Tahoma" w:hAnsi="Tahoma" w:cs="Tahoma"/>
              <w:sz w:val="20"/>
              <w:szCs w:val="20"/>
            </w:rPr>
            <w:t xml:space="preserve">En 2015, une série de mesures </w:t>
          </w:r>
          <w:r w:rsidR="00553952">
            <w:rPr>
              <w:rFonts w:ascii="Tahoma" w:hAnsi="Tahoma" w:cs="Tahoma"/>
              <w:sz w:val="20"/>
              <w:szCs w:val="20"/>
            </w:rPr>
            <w:t xml:space="preserve">sont adoptées </w:t>
          </w:r>
          <w:r w:rsidRPr="001B564D">
            <w:rPr>
              <w:rFonts w:ascii="Tahoma" w:hAnsi="Tahoma" w:cs="Tahoma"/>
              <w:sz w:val="20"/>
              <w:szCs w:val="20"/>
            </w:rPr>
            <w:t xml:space="preserve">par </w:t>
          </w:r>
          <w:r w:rsidR="00553952">
            <w:rPr>
              <w:rFonts w:ascii="Tahoma" w:hAnsi="Tahoma" w:cs="Tahoma"/>
              <w:sz w:val="20"/>
              <w:szCs w:val="20"/>
            </w:rPr>
            <w:t>le Premier M</w:t>
          </w:r>
          <w:r w:rsidRPr="007F01B9">
            <w:rPr>
              <w:rFonts w:ascii="Tahoma" w:hAnsi="Tahoma" w:cs="Tahoma"/>
              <w:sz w:val="20"/>
              <w:szCs w:val="20"/>
            </w:rPr>
            <w:t xml:space="preserve">inistre </w:t>
          </w:r>
          <w:r w:rsidR="00553952">
            <w:rPr>
              <w:rFonts w:ascii="Tahoma" w:hAnsi="Tahoma" w:cs="Tahoma"/>
              <w:sz w:val="20"/>
              <w:szCs w:val="20"/>
            </w:rPr>
            <w:t xml:space="preserve">de l’époque </w:t>
          </w:r>
          <w:r w:rsidR="000411EC">
            <w:rPr>
              <w:rFonts w:ascii="Tahoma" w:hAnsi="Tahoma" w:cs="Tahoma"/>
              <w:sz w:val="20"/>
              <w:szCs w:val="20"/>
            </w:rPr>
            <w:t xml:space="preserve">Manuel Valls : </w:t>
          </w:r>
        </w:p>
        <w:p w:rsidR="00B23965" w:rsidRPr="00B23965" w:rsidRDefault="00BF754C" w:rsidP="00B23965">
          <w:pPr>
            <w:pStyle w:val="Sansinterligne"/>
            <w:numPr>
              <w:ilvl w:val="0"/>
              <w:numId w:val="15"/>
            </w:numPr>
            <w:rPr>
              <w:rFonts w:ascii="Tahoma" w:hAnsi="Tahoma" w:cs="Tahoma"/>
              <w:sz w:val="20"/>
              <w:szCs w:val="20"/>
            </w:rPr>
          </w:pPr>
          <w:r w:rsidRPr="00B23965">
            <w:rPr>
              <w:rFonts w:ascii="Tahoma" w:hAnsi="Tahoma" w:cs="Tahoma"/>
              <w:sz w:val="20"/>
              <w:szCs w:val="20"/>
            </w:rPr>
            <w:t>Élargissement</w:t>
          </w:r>
          <w:r w:rsidR="00B23965" w:rsidRPr="00B23965">
            <w:rPr>
              <w:rFonts w:ascii="Tahoma" w:hAnsi="Tahoma" w:cs="Tahoma"/>
              <w:sz w:val="20"/>
              <w:szCs w:val="20"/>
            </w:rPr>
            <w:t xml:space="preserve"> de l’éligibilité au PTZ (Prêt à taux Zéro), puis Prêt PAS 2016 ;</w:t>
          </w:r>
        </w:p>
        <w:p w:rsidR="00B23965" w:rsidRPr="00B23965" w:rsidRDefault="00BF754C" w:rsidP="00B23965">
          <w:pPr>
            <w:pStyle w:val="Sansinterligne"/>
            <w:numPr>
              <w:ilvl w:val="0"/>
              <w:numId w:val="15"/>
            </w:numPr>
            <w:rPr>
              <w:rFonts w:ascii="Tahoma" w:hAnsi="Tahoma" w:cs="Tahoma"/>
              <w:sz w:val="20"/>
              <w:szCs w:val="20"/>
            </w:rPr>
          </w:pPr>
          <w:r w:rsidRPr="00B23965">
            <w:rPr>
              <w:rFonts w:ascii="Tahoma" w:hAnsi="Tahoma" w:cs="Tahoma"/>
              <w:sz w:val="20"/>
              <w:szCs w:val="20"/>
            </w:rPr>
            <w:t>Développement</w:t>
          </w:r>
          <w:r w:rsidR="00B23965" w:rsidRPr="00B23965">
            <w:rPr>
              <w:rFonts w:ascii="Tahoma" w:hAnsi="Tahoma" w:cs="Tahoma"/>
              <w:sz w:val="20"/>
              <w:szCs w:val="20"/>
            </w:rPr>
            <w:t xml:space="preserve"> de l’investissement locatif ;</w:t>
          </w:r>
        </w:p>
        <w:p w:rsidR="00B23965" w:rsidRPr="00B23965" w:rsidRDefault="00BF754C" w:rsidP="00B23965">
          <w:pPr>
            <w:pStyle w:val="Sansinterligne"/>
            <w:numPr>
              <w:ilvl w:val="0"/>
              <w:numId w:val="15"/>
            </w:numPr>
            <w:rPr>
              <w:rFonts w:ascii="Tahoma" w:hAnsi="Tahoma" w:cs="Tahoma"/>
              <w:sz w:val="20"/>
              <w:szCs w:val="20"/>
            </w:rPr>
          </w:pPr>
          <w:r w:rsidRPr="00B23965">
            <w:rPr>
              <w:rFonts w:ascii="Tahoma" w:hAnsi="Tahoma" w:cs="Tahoma"/>
              <w:sz w:val="20"/>
              <w:szCs w:val="20"/>
            </w:rPr>
            <w:t>Simplification</w:t>
          </w:r>
          <w:r w:rsidR="00B23965" w:rsidRPr="00B23965">
            <w:rPr>
              <w:rFonts w:ascii="Tahoma" w:hAnsi="Tahoma" w:cs="Tahoma"/>
              <w:sz w:val="20"/>
              <w:szCs w:val="20"/>
            </w:rPr>
            <w:t xml:space="preserve"> des normes de construction ;</w:t>
          </w:r>
        </w:p>
        <w:p w:rsidR="00B23965" w:rsidRPr="00B23965" w:rsidRDefault="00BF754C" w:rsidP="00B23965">
          <w:pPr>
            <w:pStyle w:val="Sansinterligne"/>
            <w:numPr>
              <w:ilvl w:val="0"/>
              <w:numId w:val="15"/>
            </w:numPr>
            <w:rPr>
              <w:rFonts w:ascii="Tahoma" w:hAnsi="Tahoma" w:cs="Tahoma"/>
              <w:sz w:val="20"/>
              <w:szCs w:val="20"/>
            </w:rPr>
          </w:pPr>
          <w:r w:rsidRPr="00B23965">
            <w:rPr>
              <w:rFonts w:ascii="Tahoma" w:hAnsi="Tahoma" w:cs="Tahoma"/>
              <w:sz w:val="20"/>
              <w:szCs w:val="20"/>
            </w:rPr>
            <w:t>Libération</w:t>
          </w:r>
          <w:r w:rsidR="00B23965" w:rsidRPr="00B23965">
            <w:rPr>
              <w:rFonts w:ascii="Tahoma" w:hAnsi="Tahoma" w:cs="Tahoma"/>
              <w:sz w:val="20"/>
              <w:szCs w:val="20"/>
            </w:rPr>
            <w:t xml:space="preserve"> rapide des terrains constructibles ;</w:t>
          </w:r>
        </w:p>
        <w:p w:rsidR="000411EC" w:rsidRDefault="00BF754C" w:rsidP="000411EC">
          <w:pPr>
            <w:pStyle w:val="Sansinterligne"/>
            <w:numPr>
              <w:ilvl w:val="0"/>
              <w:numId w:val="15"/>
            </w:numPr>
            <w:rPr>
              <w:rFonts w:ascii="Tahoma" w:hAnsi="Tahoma" w:cs="Tahoma"/>
              <w:sz w:val="20"/>
              <w:szCs w:val="20"/>
            </w:rPr>
          </w:pPr>
          <w:bookmarkStart w:id="0" w:name="_GoBack"/>
          <w:bookmarkEnd w:id="0"/>
          <w:r w:rsidRPr="00B23965">
            <w:rPr>
              <w:rFonts w:ascii="Tahoma" w:hAnsi="Tahoma" w:cs="Tahoma"/>
              <w:sz w:val="20"/>
              <w:szCs w:val="20"/>
            </w:rPr>
            <w:t>Abandon</w:t>
          </w:r>
          <w:r w:rsidR="00B23965" w:rsidRPr="00B23965">
            <w:rPr>
              <w:rFonts w:ascii="Tahoma" w:hAnsi="Tahoma" w:cs="Tahoma"/>
              <w:sz w:val="20"/>
              <w:szCs w:val="20"/>
            </w:rPr>
            <w:t xml:space="preserve"> de l’objectif de 500 000 nouveaux logements par an pour celui, plus réaliste, de 40 000 logements par an d’ici 2017.</w:t>
          </w:r>
        </w:p>
        <w:p w:rsidR="000411EC" w:rsidRPr="000411EC" w:rsidRDefault="000411EC" w:rsidP="000411EC">
          <w:pPr>
            <w:pStyle w:val="Sansinterligne"/>
            <w:ind w:left="720"/>
            <w:rPr>
              <w:rFonts w:ascii="Tahoma" w:hAnsi="Tahoma" w:cs="Tahoma"/>
              <w:sz w:val="20"/>
              <w:szCs w:val="20"/>
            </w:rPr>
          </w:pPr>
        </w:p>
        <w:p w:rsidR="00B23965" w:rsidRDefault="000411EC" w:rsidP="001A53EF">
          <w:pPr>
            <w:jc w:val="both"/>
            <w:rPr>
              <w:rFonts w:ascii="Tahoma" w:hAnsi="Tahoma" w:cs="Tahoma"/>
              <w:i/>
              <w:sz w:val="20"/>
              <w:szCs w:val="20"/>
            </w:rPr>
          </w:pPr>
          <w:r w:rsidRPr="000411EC">
            <w:rPr>
              <w:rFonts w:ascii="Tahoma" w:hAnsi="Tahoma" w:cs="Tahoma"/>
              <w:sz w:val="20"/>
              <w:szCs w:val="20"/>
            </w:rPr>
            <w:t xml:space="preserve">Le but </w:t>
          </w:r>
          <w:r>
            <w:rPr>
              <w:rFonts w:ascii="Tahoma" w:hAnsi="Tahoma" w:cs="Tahoma"/>
              <w:sz w:val="20"/>
              <w:szCs w:val="20"/>
            </w:rPr>
            <w:t>de ces mesures étai</w:t>
          </w:r>
          <w:r w:rsidRPr="000411EC">
            <w:rPr>
              <w:rFonts w:ascii="Tahoma" w:hAnsi="Tahoma" w:cs="Tahoma"/>
              <w:sz w:val="20"/>
              <w:szCs w:val="20"/>
            </w:rPr>
            <w:t xml:space="preserve">t de relancer le secteur de l’immobilier en France et plus particulièrement </w:t>
          </w:r>
          <w:r w:rsidRPr="000411EC">
            <w:rPr>
              <w:rFonts w:ascii="Tahoma" w:hAnsi="Tahoma" w:cs="Tahoma"/>
              <w:i/>
              <w:sz w:val="20"/>
              <w:szCs w:val="20"/>
            </w:rPr>
            <w:t>« relancer la construction »</w:t>
          </w:r>
          <w:r w:rsidRPr="000411EC">
            <w:rPr>
              <w:rFonts w:ascii="Tahoma" w:hAnsi="Tahoma" w:cs="Tahoma"/>
              <w:sz w:val="20"/>
              <w:szCs w:val="20"/>
            </w:rPr>
            <w:t> </w:t>
          </w:r>
          <w:r>
            <w:rPr>
              <w:rFonts w:ascii="Tahoma" w:hAnsi="Tahoma" w:cs="Tahoma"/>
              <w:sz w:val="20"/>
              <w:szCs w:val="20"/>
            </w:rPr>
            <w:t>et « </w:t>
          </w:r>
          <w:r w:rsidRPr="000411EC">
            <w:rPr>
              <w:rFonts w:ascii="Tahoma" w:hAnsi="Tahoma" w:cs="Tahoma"/>
              <w:i/>
              <w:sz w:val="20"/>
              <w:szCs w:val="20"/>
            </w:rPr>
            <w:t>faciliter à l’accession au logement pour les jeunes</w:t>
          </w:r>
          <w:r w:rsidR="007A3EBD" w:rsidRPr="007A3EBD">
            <w:rPr>
              <w:rFonts w:ascii="Tahoma" w:hAnsi="Tahoma" w:cs="Tahoma"/>
              <w:i/>
              <w:sz w:val="20"/>
              <w:szCs w:val="20"/>
            </w:rPr>
            <w:t> ».</w:t>
          </w:r>
          <w:r w:rsidR="007A3EBD" w:rsidRPr="007A3EBD">
            <w:rPr>
              <w:rFonts w:ascii="Tahoma" w:hAnsi="Tahoma" w:cs="Tahoma"/>
              <w:sz w:val="20"/>
              <w:szCs w:val="20"/>
            </w:rPr>
            <w:t xml:space="preserve"> Le résultat est très positif : l’immobilier repart à la hausse, dans le neuf et dans l’ancien.</w:t>
          </w:r>
          <w:r w:rsidR="00102D5F">
            <w:rPr>
              <w:rFonts w:ascii="Tahoma" w:hAnsi="Tahoma" w:cs="Tahoma"/>
              <w:sz w:val="20"/>
              <w:szCs w:val="20"/>
            </w:rPr>
            <w:t xml:space="preserve"> Parallèlement, les taux sont restés bas, avec des baisses constatées sur la fin de l’année.  </w:t>
          </w:r>
        </w:p>
        <w:p w:rsidR="007719AF" w:rsidRDefault="006C49BD" w:rsidP="007719AF">
          <w:pPr>
            <w:jc w:val="both"/>
            <w:rPr>
              <w:rFonts w:ascii="Tahoma" w:hAnsi="Tahoma" w:cs="Tahoma"/>
              <w:b/>
              <w:sz w:val="20"/>
              <w:szCs w:val="20"/>
            </w:rPr>
          </w:pPr>
          <w:r w:rsidRPr="001B564D">
            <w:rPr>
              <w:rFonts w:ascii="Tahoma" w:hAnsi="Tahoma" w:cs="Tahoma"/>
              <w:sz w:val="20"/>
              <w:szCs w:val="20"/>
            </w:rPr>
            <w:t xml:space="preserve">2016 </w:t>
          </w:r>
          <w:r w:rsidR="003C3C80">
            <w:rPr>
              <w:rFonts w:ascii="Tahoma" w:hAnsi="Tahoma" w:cs="Tahoma"/>
              <w:sz w:val="20"/>
              <w:szCs w:val="20"/>
            </w:rPr>
            <w:t>a été</w:t>
          </w:r>
          <w:r w:rsidR="00D6574E">
            <w:rPr>
              <w:rFonts w:ascii="Tahoma" w:hAnsi="Tahoma" w:cs="Tahoma"/>
              <w:sz w:val="20"/>
              <w:szCs w:val="20"/>
            </w:rPr>
            <w:t xml:space="preserve"> une excellente année</w:t>
          </w:r>
          <w:r w:rsidR="00102D5F">
            <w:rPr>
              <w:rFonts w:ascii="Tahoma" w:hAnsi="Tahoma" w:cs="Tahoma"/>
              <w:sz w:val="20"/>
              <w:szCs w:val="20"/>
            </w:rPr>
            <w:t xml:space="preserve"> pour les emprunteurs</w:t>
          </w:r>
          <w:r w:rsidR="00D6574E">
            <w:rPr>
              <w:rFonts w:ascii="Tahoma" w:hAnsi="Tahoma" w:cs="Tahoma"/>
              <w:sz w:val="20"/>
              <w:szCs w:val="20"/>
            </w:rPr>
            <w:t>. L</w:t>
          </w:r>
          <w:r w:rsidRPr="001B564D">
            <w:rPr>
              <w:rFonts w:ascii="Tahoma" w:hAnsi="Tahoma" w:cs="Tahoma"/>
              <w:sz w:val="20"/>
              <w:szCs w:val="20"/>
            </w:rPr>
            <w:t>’évolution des taux de</w:t>
          </w:r>
          <w:r w:rsidR="006454BC">
            <w:rPr>
              <w:rFonts w:ascii="Tahoma" w:hAnsi="Tahoma" w:cs="Tahoma"/>
              <w:sz w:val="20"/>
              <w:szCs w:val="20"/>
            </w:rPr>
            <w:t>s</w:t>
          </w:r>
          <w:r w:rsidRPr="001B564D">
            <w:rPr>
              <w:rFonts w:ascii="Tahoma" w:hAnsi="Tahoma" w:cs="Tahoma"/>
              <w:sz w:val="20"/>
              <w:szCs w:val="20"/>
            </w:rPr>
            <w:t xml:space="preserve"> crédit</w:t>
          </w:r>
          <w:r w:rsidR="006454BC">
            <w:rPr>
              <w:rFonts w:ascii="Tahoma" w:hAnsi="Tahoma" w:cs="Tahoma"/>
              <w:sz w:val="20"/>
              <w:szCs w:val="20"/>
            </w:rPr>
            <w:t>s immobiliers</w:t>
          </w:r>
          <w:r w:rsidR="00D6574E">
            <w:rPr>
              <w:rFonts w:ascii="Tahoma" w:hAnsi="Tahoma" w:cs="Tahoma"/>
              <w:sz w:val="20"/>
              <w:szCs w:val="20"/>
            </w:rPr>
            <w:t xml:space="preserve"> </w:t>
          </w:r>
          <w:r w:rsidR="005C67A7">
            <w:rPr>
              <w:rFonts w:ascii="Tahoma" w:hAnsi="Tahoma" w:cs="Tahoma"/>
              <w:sz w:val="20"/>
              <w:szCs w:val="20"/>
            </w:rPr>
            <w:t>n’a jamais été aussi favorable</w:t>
          </w:r>
          <w:r w:rsidR="00102D5F">
            <w:rPr>
              <w:rFonts w:ascii="Tahoma" w:hAnsi="Tahoma" w:cs="Tahoma"/>
              <w:sz w:val="20"/>
              <w:szCs w:val="20"/>
            </w:rPr>
            <w:t xml:space="preserve">. </w:t>
          </w:r>
          <w:r w:rsidR="007719AF" w:rsidRPr="007719AF">
            <w:rPr>
              <w:rFonts w:ascii="Tahoma" w:hAnsi="Tahoma" w:cs="Tahoma"/>
              <w:sz w:val="20"/>
              <w:szCs w:val="20"/>
            </w:rPr>
            <w:t>L’année dernière, les banques ont réalisé une année record avec plus de 230 milliards d’Euros de crédits financés.</w:t>
          </w:r>
          <w:r w:rsidR="007719AF">
            <w:rPr>
              <w:rFonts w:ascii="Tahoma" w:hAnsi="Tahoma" w:cs="Tahoma"/>
              <w:sz w:val="20"/>
              <w:szCs w:val="20"/>
            </w:rPr>
            <w:t xml:space="preserve"> La première hausse de</w:t>
          </w:r>
          <w:r w:rsidR="006454BC">
            <w:rPr>
              <w:rFonts w:ascii="Tahoma" w:hAnsi="Tahoma" w:cs="Tahoma"/>
              <w:sz w:val="20"/>
              <w:szCs w:val="20"/>
            </w:rPr>
            <w:t>s</w:t>
          </w:r>
          <w:r w:rsidR="007719AF">
            <w:rPr>
              <w:rFonts w:ascii="Tahoma" w:hAnsi="Tahoma" w:cs="Tahoma"/>
              <w:sz w:val="20"/>
              <w:szCs w:val="20"/>
            </w:rPr>
            <w:t xml:space="preserve"> taux a </w:t>
          </w:r>
          <w:r w:rsidR="006454BC">
            <w:rPr>
              <w:rFonts w:ascii="Tahoma" w:hAnsi="Tahoma" w:cs="Tahoma"/>
              <w:sz w:val="20"/>
              <w:szCs w:val="20"/>
            </w:rPr>
            <w:t>été constaté</w:t>
          </w:r>
          <w:r w:rsidR="007719AF">
            <w:rPr>
              <w:rFonts w:ascii="Tahoma" w:hAnsi="Tahoma" w:cs="Tahoma"/>
              <w:sz w:val="20"/>
              <w:szCs w:val="20"/>
            </w:rPr>
            <w:t xml:space="preserve"> au mois de novembre</w:t>
          </w:r>
          <w:r w:rsidR="006454BC">
            <w:rPr>
              <w:rFonts w:ascii="Tahoma" w:hAnsi="Tahoma" w:cs="Tahoma"/>
              <w:sz w:val="20"/>
              <w:szCs w:val="20"/>
            </w:rPr>
            <w:t xml:space="preserve"> 2016</w:t>
          </w:r>
          <w:r w:rsidR="007719AF">
            <w:rPr>
              <w:rFonts w:ascii="Tahoma" w:hAnsi="Tahoma" w:cs="Tahoma"/>
              <w:sz w:val="20"/>
              <w:szCs w:val="20"/>
            </w:rPr>
            <w:t xml:space="preserve">. </w:t>
          </w:r>
        </w:p>
        <w:p w:rsidR="001A53EF" w:rsidRPr="00B23965" w:rsidRDefault="006C49BD" w:rsidP="001A53EF">
          <w:pPr>
            <w:pStyle w:val="Sansinterligne"/>
            <w:jc w:val="both"/>
            <w:rPr>
              <w:rFonts w:ascii="Tahoma" w:hAnsi="Tahoma" w:cs="Tahoma"/>
              <w:sz w:val="20"/>
              <w:szCs w:val="20"/>
            </w:rPr>
          </w:pPr>
          <w:r w:rsidRPr="001B564D">
            <w:rPr>
              <w:rFonts w:ascii="Tahoma" w:hAnsi="Tahoma" w:cs="Tahoma"/>
              <w:sz w:val="20"/>
              <w:szCs w:val="20"/>
            </w:rPr>
            <w:lastRenderedPageBreak/>
            <w:t>Depuis le début de l’année 2017,</w:t>
          </w:r>
          <w:r w:rsidR="00102D5F">
            <w:rPr>
              <w:rFonts w:ascii="Tahoma" w:hAnsi="Tahoma" w:cs="Tahoma"/>
              <w:sz w:val="20"/>
              <w:szCs w:val="20"/>
            </w:rPr>
            <w:t xml:space="preserve"> la tendance </w:t>
          </w:r>
          <w:r w:rsidR="007719AF">
            <w:rPr>
              <w:rFonts w:ascii="Tahoma" w:hAnsi="Tahoma" w:cs="Tahoma"/>
              <w:sz w:val="20"/>
              <w:szCs w:val="20"/>
            </w:rPr>
            <w:t>s’accentue</w:t>
          </w:r>
          <w:r w:rsidR="00FD650E">
            <w:rPr>
              <w:rFonts w:ascii="Tahoma" w:hAnsi="Tahoma" w:cs="Tahoma"/>
              <w:sz w:val="20"/>
              <w:szCs w:val="20"/>
            </w:rPr>
            <w:t xml:space="preserve">. </w:t>
          </w:r>
          <w:r w:rsidR="007719AF">
            <w:rPr>
              <w:rFonts w:ascii="Tahoma" w:hAnsi="Tahoma" w:cs="Tahoma"/>
              <w:sz w:val="20"/>
              <w:szCs w:val="20"/>
            </w:rPr>
            <w:t xml:space="preserve">Toutes les banques </w:t>
          </w:r>
          <w:r>
            <w:rPr>
              <w:rFonts w:ascii="Tahoma" w:hAnsi="Tahoma" w:cs="Tahoma"/>
              <w:sz w:val="20"/>
              <w:szCs w:val="20"/>
            </w:rPr>
            <w:t xml:space="preserve">s’accordent </w:t>
          </w:r>
          <w:r w:rsidRPr="001B564D">
            <w:rPr>
              <w:rFonts w:ascii="Tahoma" w:hAnsi="Tahoma" w:cs="Tahoma"/>
              <w:sz w:val="20"/>
              <w:szCs w:val="20"/>
            </w:rPr>
            <w:t>pour augmenter leurs grilles</w:t>
          </w:r>
          <w:r w:rsidR="007719AF">
            <w:rPr>
              <w:rFonts w:ascii="Tahoma" w:hAnsi="Tahoma" w:cs="Tahoma"/>
              <w:sz w:val="20"/>
              <w:szCs w:val="20"/>
            </w:rPr>
            <w:t xml:space="preserve"> de taux des crédits immobiliers</w:t>
          </w:r>
          <w:r w:rsidR="00EA7987">
            <w:rPr>
              <w:rFonts w:ascii="Tahoma" w:hAnsi="Tahoma" w:cs="Tahoma"/>
              <w:sz w:val="20"/>
              <w:szCs w:val="20"/>
            </w:rPr>
            <w:t xml:space="preserve"> aux particuliers</w:t>
          </w:r>
          <w:r>
            <w:rPr>
              <w:rFonts w:ascii="Tahoma" w:hAnsi="Tahoma" w:cs="Tahoma"/>
              <w:sz w:val="20"/>
              <w:szCs w:val="20"/>
            </w:rPr>
            <w:t xml:space="preserve">. Même </w:t>
          </w:r>
          <w:r w:rsidR="007719AF">
            <w:rPr>
              <w:rFonts w:ascii="Tahoma" w:hAnsi="Tahoma" w:cs="Tahoma"/>
              <w:sz w:val="20"/>
              <w:szCs w:val="20"/>
            </w:rPr>
            <w:t xml:space="preserve">si </w:t>
          </w:r>
          <w:r w:rsidR="001A53EF">
            <w:rPr>
              <w:rFonts w:ascii="Tahoma" w:hAnsi="Tahoma" w:cs="Tahoma"/>
              <w:sz w:val="20"/>
              <w:szCs w:val="20"/>
            </w:rPr>
            <w:t>l</w:t>
          </w:r>
          <w:r w:rsidR="007719AF">
            <w:rPr>
              <w:rFonts w:ascii="Tahoma" w:hAnsi="Tahoma" w:cs="Tahoma"/>
              <w:sz w:val="20"/>
              <w:szCs w:val="20"/>
            </w:rPr>
            <w:t>es hausses</w:t>
          </w:r>
          <w:r>
            <w:rPr>
              <w:rFonts w:ascii="Tahoma" w:hAnsi="Tahoma" w:cs="Tahoma"/>
              <w:sz w:val="20"/>
              <w:szCs w:val="20"/>
            </w:rPr>
            <w:t xml:space="preserve"> </w:t>
          </w:r>
          <w:r w:rsidR="007719AF">
            <w:rPr>
              <w:rFonts w:ascii="Tahoma" w:hAnsi="Tahoma" w:cs="Tahoma"/>
              <w:sz w:val="20"/>
              <w:szCs w:val="20"/>
            </w:rPr>
            <w:t xml:space="preserve">sont </w:t>
          </w:r>
          <w:r w:rsidR="001A53EF">
            <w:rPr>
              <w:rFonts w:ascii="Tahoma" w:hAnsi="Tahoma" w:cs="Tahoma"/>
              <w:sz w:val="20"/>
              <w:szCs w:val="20"/>
            </w:rPr>
            <w:t>identifiables</w:t>
          </w:r>
          <w:r>
            <w:rPr>
              <w:rFonts w:ascii="Tahoma" w:hAnsi="Tahoma" w:cs="Tahoma"/>
              <w:sz w:val="20"/>
              <w:szCs w:val="20"/>
            </w:rPr>
            <w:t xml:space="preserve">, </w:t>
          </w:r>
          <w:r w:rsidR="001A53EF">
            <w:rPr>
              <w:rFonts w:ascii="Tahoma" w:hAnsi="Tahoma" w:cs="Tahoma"/>
              <w:sz w:val="20"/>
              <w:szCs w:val="20"/>
            </w:rPr>
            <w:t>les taux d’emprunts</w:t>
          </w:r>
          <w:r w:rsidR="007719AF">
            <w:rPr>
              <w:rFonts w:ascii="Tahoma" w:hAnsi="Tahoma" w:cs="Tahoma"/>
              <w:sz w:val="20"/>
              <w:szCs w:val="20"/>
            </w:rPr>
            <w:t xml:space="preserve"> restent extrêmement bas</w:t>
          </w:r>
          <w:r w:rsidR="00642CAC">
            <w:rPr>
              <w:rFonts w:ascii="Tahoma" w:hAnsi="Tahoma" w:cs="Tahoma"/>
              <w:sz w:val="20"/>
              <w:szCs w:val="20"/>
            </w:rPr>
            <w:t xml:space="preserve">. </w:t>
          </w:r>
          <w:r w:rsidR="007719AF">
            <w:rPr>
              <w:rFonts w:ascii="Tahoma" w:hAnsi="Tahoma" w:cs="Tahoma"/>
              <w:sz w:val="20"/>
              <w:szCs w:val="20"/>
            </w:rPr>
            <w:t>Depuis</w:t>
          </w:r>
          <w:r w:rsidR="007719AF" w:rsidRPr="001B564D">
            <w:rPr>
              <w:rFonts w:ascii="Tahoma" w:hAnsi="Tahoma" w:cs="Tahoma"/>
              <w:sz w:val="20"/>
              <w:szCs w:val="20"/>
            </w:rPr>
            <w:t xml:space="preserve"> 2014, les taux d’</w:t>
          </w:r>
          <w:r w:rsidR="007719AF">
            <w:rPr>
              <w:rFonts w:ascii="Tahoma" w:hAnsi="Tahoma" w:cs="Tahoma"/>
              <w:sz w:val="20"/>
              <w:szCs w:val="20"/>
            </w:rPr>
            <w:t>intérêts</w:t>
          </w:r>
          <w:r w:rsidR="007719AF" w:rsidRPr="001B564D">
            <w:rPr>
              <w:rFonts w:ascii="Tahoma" w:hAnsi="Tahoma" w:cs="Tahoma"/>
              <w:sz w:val="20"/>
              <w:szCs w:val="20"/>
            </w:rPr>
            <w:t xml:space="preserve"> ne sont jamais </w:t>
          </w:r>
          <w:r w:rsidR="007719AF">
            <w:rPr>
              <w:rFonts w:ascii="Tahoma" w:hAnsi="Tahoma" w:cs="Tahoma"/>
              <w:sz w:val="20"/>
              <w:szCs w:val="20"/>
            </w:rPr>
            <w:t xml:space="preserve">remontés au-dessus de la barre </w:t>
          </w:r>
          <w:r w:rsidR="00EA7987">
            <w:rPr>
              <w:rFonts w:ascii="Tahoma" w:hAnsi="Tahoma" w:cs="Tahoma"/>
              <w:sz w:val="20"/>
              <w:szCs w:val="20"/>
            </w:rPr>
            <w:t xml:space="preserve">symbolique </w:t>
          </w:r>
          <w:r w:rsidR="007719AF">
            <w:rPr>
              <w:rFonts w:ascii="Tahoma" w:hAnsi="Tahoma" w:cs="Tahoma"/>
              <w:sz w:val="20"/>
              <w:szCs w:val="20"/>
            </w:rPr>
            <w:t>des</w:t>
          </w:r>
          <w:r w:rsidR="007719AF" w:rsidRPr="001B564D">
            <w:rPr>
              <w:rFonts w:ascii="Tahoma" w:hAnsi="Tahoma" w:cs="Tahoma"/>
              <w:sz w:val="20"/>
              <w:szCs w:val="20"/>
            </w:rPr>
            <w:t xml:space="preserve"> </w:t>
          </w:r>
          <w:r w:rsidR="007719AF">
            <w:rPr>
              <w:rFonts w:ascii="Tahoma" w:hAnsi="Tahoma" w:cs="Tahoma"/>
              <w:sz w:val="20"/>
              <w:szCs w:val="20"/>
            </w:rPr>
            <w:t>3</w:t>
          </w:r>
          <w:r w:rsidR="007719AF" w:rsidRPr="001B564D">
            <w:rPr>
              <w:rFonts w:ascii="Tahoma" w:hAnsi="Tahoma" w:cs="Tahoma"/>
              <w:sz w:val="20"/>
              <w:szCs w:val="20"/>
            </w:rPr>
            <w:t>%.</w:t>
          </w:r>
          <w:r w:rsidR="001A53EF" w:rsidRPr="001A53EF">
            <w:rPr>
              <w:rFonts w:ascii="Tahoma" w:hAnsi="Tahoma" w:cs="Tahoma"/>
              <w:sz w:val="20"/>
              <w:szCs w:val="20"/>
            </w:rPr>
            <w:t xml:space="preserve"> </w:t>
          </w:r>
          <w:r w:rsidR="001A53EF" w:rsidRPr="00B23965">
            <w:rPr>
              <w:rFonts w:ascii="Tahoma" w:hAnsi="Tahoma" w:cs="Tahoma"/>
              <w:sz w:val="20"/>
              <w:szCs w:val="20"/>
            </w:rPr>
            <w:t>Cette situation largement profitable aux personnes souhaitant contracter un crédit en vue d’acquérir un logement devrait rester inchangée encore quelques mois.</w:t>
          </w:r>
        </w:p>
        <w:p w:rsidR="00B23965" w:rsidRPr="00B23965" w:rsidRDefault="00B23965" w:rsidP="00D6574E">
          <w:pPr>
            <w:pStyle w:val="Sansinterligne"/>
            <w:jc w:val="both"/>
            <w:rPr>
              <w:rFonts w:ascii="Tahoma" w:hAnsi="Tahoma" w:cs="Tahoma"/>
              <w:sz w:val="20"/>
              <w:szCs w:val="20"/>
            </w:rPr>
          </w:pPr>
        </w:p>
        <w:p w:rsidR="00B23965" w:rsidRPr="00B23965" w:rsidRDefault="00B23965" w:rsidP="00D6574E">
          <w:pPr>
            <w:pStyle w:val="Sansinterligne"/>
            <w:jc w:val="both"/>
            <w:rPr>
              <w:rFonts w:ascii="Tahoma" w:hAnsi="Tahoma" w:cs="Tahoma"/>
              <w:sz w:val="20"/>
              <w:szCs w:val="20"/>
            </w:rPr>
          </w:pPr>
          <w:r w:rsidRPr="00B23965">
            <w:rPr>
              <w:rFonts w:ascii="Tahoma" w:hAnsi="Tahoma" w:cs="Tahoma"/>
              <w:sz w:val="20"/>
              <w:szCs w:val="20"/>
            </w:rPr>
            <w:t>Les taux de</w:t>
          </w:r>
          <w:r w:rsidR="00EA7987">
            <w:rPr>
              <w:rFonts w:ascii="Tahoma" w:hAnsi="Tahoma" w:cs="Tahoma"/>
              <w:sz w:val="20"/>
              <w:szCs w:val="20"/>
            </w:rPr>
            <w:t>s</w:t>
          </w:r>
          <w:r w:rsidRPr="00B23965">
            <w:rPr>
              <w:rFonts w:ascii="Tahoma" w:hAnsi="Tahoma" w:cs="Tahoma"/>
              <w:sz w:val="20"/>
              <w:szCs w:val="20"/>
            </w:rPr>
            <w:t xml:space="preserve"> crédit</w:t>
          </w:r>
          <w:r w:rsidR="00EA7987">
            <w:rPr>
              <w:rFonts w:ascii="Tahoma" w:hAnsi="Tahoma" w:cs="Tahoma"/>
              <w:sz w:val="20"/>
              <w:szCs w:val="20"/>
            </w:rPr>
            <w:t>s</w:t>
          </w:r>
          <w:r w:rsidRPr="00B23965">
            <w:rPr>
              <w:rFonts w:ascii="Tahoma" w:hAnsi="Tahoma" w:cs="Tahoma"/>
              <w:sz w:val="20"/>
              <w:szCs w:val="20"/>
            </w:rPr>
            <w:t xml:space="preserve"> </w:t>
          </w:r>
          <w:r w:rsidR="001A53EF">
            <w:rPr>
              <w:rFonts w:ascii="Tahoma" w:hAnsi="Tahoma" w:cs="Tahoma"/>
              <w:sz w:val="20"/>
              <w:szCs w:val="20"/>
            </w:rPr>
            <w:t>immobilier</w:t>
          </w:r>
          <w:r w:rsidR="00EA7987">
            <w:rPr>
              <w:rFonts w:ascii="Tahoma" w:hAnsi="Tahoma" w:cs="Tahoma"/>
              <w:sz w:val="20"/>
              <w:szCs w:val="20"/>
            </w:rPr>
            <w:t>s</w:t>
          </w:r>
          <w:r w:rsidR="001A53EF">
            <w:rPr>
              <w:rFonts w:ascii="Tahoma" w:hAnsi="Tahoma" w:cs="Tahoma"/>
              <w:sz w:val="20"/>
              <w:szCs w:val="20"/>
            </w:rPr>
            <w:t xml:space="preserve"> </w:t>
          </w:r>
          <w:r w:rsidRPr="00B23965">
            <w:rPr>
              <w:rFonts w:ascii="Tahoma" w:hAnsi="Tahoma" w:cs="Tahoma"/>
              <w:sz w:val="20"/>
              <w:szCs w:val="20"/>
            </w:rPr>
            <w:t xml:space="preserve">pourraient </w:t>
          </w:r>
          <w:r w:rsidR="001A53EF">
            <w:rPr>
              <w:rFonts w:ascii="Tahoma" w:hAnsi="Tahoma" w:cs="Tahoma"/>
              <w:sz w:val="20"/>
              <w:szCs w:val="20"/>
            </w:rPr>
            <w:t>connaitre une</w:t>
          </w:r>
          <w:r w:rsidR="00EA7987">
            <w:rPr>
              <w:rFonts w:ascii="Tahoma" w:hAnsi="Tahoma" w:cs="Tahoma"/>
              <w:sz w:val="20"/>
              <w:szCs w:val="20"/>
            </w:rPr>
            <w:t xml:space="preserve"> nouvelle</w:t>
          </w:r>
          <w:r w:rsidR="001A53EF">
            <w:rPr>
              <w:rFonts w:ascii="Tahoma" w:hAnsi="Tahoma" w:cs="Tahoma"/>
              <w:sz w:val="20"/>
              <w:szCs w:val="20"/>
            </w:rPr>
            <w:t xml:space="preserve"> période de fléchissement</w:t>
          </w:r>
          <w:r w:rsidRPr="00B23965">
            <w:rPr>
              <w:rFonts w:ascii="Tahoma" w:hAnsi="Tahoma" w:cs="Tahoma"/>
              <w:sz w:val="20"/>
              <w:szCs w:val="20"/>
            </w:rPr>
            <w:t xml:space="preserve"> </w:t>
          </w:r>
          <w:r w:rsidR="001A53EF">
            <w:rPr>
              <w:rFonts w:ascii="Tahoma" w:hAnsi="Tahoma" w:cs="Tahoma"/>
              <w:sz w:val="20"/>
              <w:szCs w:val="20"/>
            </w:rPr>
            <w:t>au cours de l’année 2017</w:t>
          </w:r>
          <w:r w:rsidRPr="00B23965">
            <w:rPr>
              <w:rFonts w:ascii="Tahoma" w:hAnsi="Tahoma" w:cs="Tahoma"/>
              <w:sz w:val="20"/>
              <w:szCs w:val="20"/>
            </w:rPr>
            <w:t xml:space="preserve"> </w:t>
          </w:r>
          <w:r w:rsidR="001A53EF">
            <w:rPr>
              <w:rFonts w:ascii="Tahoma" w:hAnsi="Tahoma" w:cs="Tahoma"/>
              <w:sz w:val="20"/>
              <w:szCs w:val="20"/>
            </w:rPr>
            <w:t>à condition que</w:t>
          </w:r>
          <w:r w:rsidRPr="00B23965">
            <w:rPr>
              <w:rFonts w:ascii="Tahoma" w:hAnsi="Tahoma" w:cs="Tahoma"/>
              <w:sz w:val="20"/>
              <w:szCs w:val="20"/>
            </w:rPr>
            <w:t xml:space="preserve"> la Banque Centrale Européenne (BCE) </w:t>
          </w:r>
          <w:r w:rsidR="001A53EF">
            <w:rPr>
              <w:rFonts w:ascii="Tahoma" w:hAnsi="Tahoma" w:cs="Tahoma"/>
              <w:sz w:val="20"/>
              <w:szCs w:val="20"/>
            </w:rPr>
            <w:t>maintienne</w:t>
          </w:r>
          <w:r w:rsidRPr="00B23965">
            <w:rPr>
              <w:rFonts w:ascii="Tahoma" w:hAnsi="Tahoma" w:cs="Tahoma"/>
              <w:sz w:val="20"/>
              <w:szCs w:val="20"/>
            </w:rPr>
            <w:t xml:space="preserve"> son taux directeur</w:t>
          </w:r>
          <w:r w:rsidR="001A53EF">
            <w:rPr>
              <w:rFonts w:ascii="Tahoma" w:hAnsi="Tahoma" w:cs="Tahoma"/>
              <w:sz w:val="20"/>
              <w:szCs w:val="20"/>
            </w:rPr>
            <w:t xml:space="preserve"> actuel et que les Obligations A</w:t>
          </w:r>
          <w:r w:rsidRPr="00B23965">
            <w:rPr>
              <w:rFonts w:ascii="Tahoma" w:hAnsi="Tahoma" w:cs="Tahoma"/>
              <w:sz w:val="20"/>
              <w:szCs w:val="20"/>
            </w:rPr>
            <w:t>ssimilables du Trésor (OAT</w:t>
          </w:r>
          <w:r w:rsidR="001A53EF">
            <w:rPr>
              <w:rFonts w:ascii="Tahoma" w:hAnsi="Tahoma" w:cs="Tahoma"/>
              <w:sz w:val="20"/>
              <w:szCs w:val="20"/>
            </w:rPr>
            <w:t>) n’augmentent pas, ou très peu</w:t>
          </w:r>
          <w:r w:rsidRPr="00B23965">
            <w:rPr>
              <w:rFonts w:ascii="Tahoma" w:hAnsi="Tahoma" w:cs="Tahoma"/>
              <w:sz w:val="20"/>
              <w:szCs w:val="20"/>
            </w:rPr>
            <w:t>.</w:t>
          </w:r>
        </w:p>
        <w:p w:rsidR="00B23965" w:rsidRPr="00B23965" w:rsidRDefault="00B23965" w:rsidP="00D6574E">
          <w:pPr>
            <w:pStyle w:val="Sansinterligne"/>
            <w:jc w:val="both"/>
            <w:rPr>
              <w:rFonts w:ascii="Tahoma" w:hAnsi="Tahoma" w:cs="Tahoma"/>
              <w:sz w:val="20"/>
              <w:szCs w:val="20"/>
            </w:rPr>
          </w:pPr>
        </w:p>
        <w:p w:rsidR="00B23965" w:rsidRDefault="00B23965" w:rsidP="00D6574E">
          <w:pPr>
            <w:pStyle w:val="Sansinterligne"/>
            <w:jc w:val="both"/>
            <w:rPr>
              <w:rFonts w:ascii="Tahoma" w:hAnsi="Tahoma" w:cs="Tahoma"/>
              <w:sz w:val="20"/>
              <w:szCs w:val="20"/>
            </w:rPr>
          </w:pPr>
          <w:r w:rsidRPr="00B23965">
            <w:rPr>
              <w:rFonts w:ascii="Tahoma" w:hAnsi="Tahoma" w:cs="Tahoma"/>
              <w:sz w:val="20"/>
              <w:szCs w:val="20"/>
            </w:rPr>
            <w:t xml:space="preserve">De plus, l’environnement bancaire reste </w:t>
          </w:r>
          <w:r w:rsidR="00EA7987">
            <w:rPr>
              <w:rFonts w:ascii="Tahoma" w:hAnsi="Tahoma" w:cs="Tahoma"/>
              <w:sz w:val="20"/>
              <w:szCs w:val="20"/>
            </w:rPr>
            <w:t xml:space="preserve">très </w:t>
          </w:r>
          <w:r w:rsidRPr="00B23965">
            <w:rPr>
              <w:rFonts w:ascii="Tahoma" w:hAnsi="Tahoma" w:cs="Tahoma"/>
              <w:sz w:val="20"/>
              <w:szCs w:val="20"/>
            </w:rPr>
            <w:t xml:space="preserve">favorable aux taux de crédit bas. Cette même BCE mène </w:t>
          </w:r>
          <w:r w:rsidR="001A53EF">
            <w:rPr>
              <w:rFonts w:ascii="Tahoma" w:hAnsi="Tahoma" w:cs="Tahoma"/>
              <w:sz w:val="20"/>
              <w:szCs w:val="20"/>
            </w:rPr>
            <w:t xml:space="preserve">toujours </w:t>
          </w:r>
          <w:r w:rsidRPr="00B23965">
            <w:rPr>
              <w:rFonts w:ascii="Tahoma" w:hAnsi="Tahoma" w:cs="Tahoma"/>
              <w:sz w:val="20"/>
              <w:szCs w:val="20"/>
            </w:rPr>
            <w:t xml:space="preserve">pour une politique de soutien de l’économie en zone euro et </w:t>
          </w:r>
          <w:r w:rsidR="001A53EF">
            <w:rPr>
              <w:rFonts w:ascii="Tahoma" w:hAnsi="Tahoma" w:cs="Tahoma"/>
              <w:sz w:val="20"/>
              <w:szCs w:val="20"/>
            </w:rPr>
            <w:t xml:space="preserve">encourage les banques à prêter. </w:t>
          </w:r>
          <w:r w:rsidRPr="00B23965">
            <w:rPr>
              <w:rFonts w:ascii="Tahoma" w:hAnsi="Tahoma" w:cs="Tahoma"/>
              <w:sz w:val="20"/>
              <w:szCs w:val="20"/>
            </w:rPr>
            <w:t>L’inflation reste donc très basse, les OAT également.</w:t>
          </w:r>
        </w:p>
        <w:p w:rsidR="00C14484" w:rsidRDefault="00C14484" w:rsidP="00D6574E">
          <w:pPr>
            <w:pStyle w:val="Sansinterligne"/>
            <w:jc w:val="both"/>
            <w:rPr>
              <w:rFonts w:ascii="Tahoma" w:hAnsi="Tahoma" w:cs="Tahoma"/>
              <w:sz w:val="20"/>
              <w:szCs w:val="20"/>
            </w:rPr>
          </w:pPr>
        </w:p>
        <w:p w:rsidR="00C14484" w:rsidRDefault="00C14484" w:rsidP="009127E0">
          <w:pPr>
            <w:pStyle w:val="Sansinterligne"/>
            <w:rPr>
              <w:rFonts w:ascii="Tahoma" w:hAnsi="Tahoma" w:cs="Tahoma"/>
              <w:i/>
              <w:sz w:val="20"/>
              <w:szCs w:val="20"/>
            </w:rPr>
          </w:pPr>
        </w:p>
        <w:p w:rsidR="001A53EF" w:rsidRDefault="001A53EF" w:rsidP="009127E0">
          <w:pPr>
            <w:pStyle w:val="Sansinterligne"/>
            <w:rPr>
              <w:rFonts w:ascii="Tahoma" w:hAnsi="Tahoma" w:cs="Tahoma"/>
              <w:i/>
              <w:sz w:val="20"/>
              <w:szCs w:val="20"/>
            </w:rPr>
          </w:pPr>
          <w:r>
            <w:rPr>
              <w:rFonts w:ascii="Tahoma" w:hAnsi="Tahoma" w:cs="Tahoma"/>
              <w:i/>
              <w:sz w:val="20"/>
              <w:szCs w:val="20"/>
            </w:rPr>
            <w:t>Graphique sur l’évolution des taux fixes de</w:t>
          </w:r>
          <w:r w:rsidR="00D20CA0">
            <w:rPr>
              <w:rFonts w:ascii="Tahoma" w:hAnsi="Tahoma" w:cs="Tahoma"/>
              <w:i/>
              <w:sz w:val="20"/>
              <w:szCs w:val="20"/>
            </w:rPr>
            <w:t>s</w:t>
          </w:r>
          <w:r>
            <w:rPr>
              <w:rFonts w:ascii="Tahoma" w:hAnsi="Tahoma" w:cs="Tahoma"/>
              <w:i/>
              <w:sz w:val="20"/>
              <w:szCs w:val="20"/>
            </w:rPr>
            <w:t xml:space="preserve"> crédits immobiliers aux particuliers – Source CREDIXIA. </w:t>
          </w:r>
        </w:p>
        <w:p w:rsidR="00C14484" w:rsidRDefault="00C14484" w:rsidP="009127E0">
          <w:pPr>
            <w:pStyle w:val="Sansinterligne"/>
            <w:rPr>
              <w:rFonts w:ascii="Tahoma" w:hAnsi="Tahoma" w:cs="Tahoma"/>
              <w:i/>
              <w:sz w:val="20"/>
              <w:szCs w:val="20"/>
            </w:rPr>
          </w:pPr>
        </w:p>
        <w:p w:rsidR="00C14484" w:rsidRDefault="00C14484" w:rsidP="00C14484">
          <w:pPr>
            <w:pStyle w:val="Sansinterligne"/>
            <w:jc w:val="center"/>
            <w:rPr>
              <w:rFonts w:ascii="Tahoma" w:hAnsi="Tahoma" w:cs="Tahoma"/>
              <w:i/>
              <w:sz w:val="20"/>
              <w:szCs w:val="20"/>
            </w:rPr>
          </w:pPr>
          <w:r>
            <w:rPr>
              <w:rFonts w:ascii="Tahoma" w:hAnsi="Tahoma" w:cs="Tahoma"/>
              <w:i/>
              <w:noProof/>
              <w:sz w:val="20"/>
              <w:szCs w:val="20"/>
            </w:rPr>
            <w:drawing>
              <wp:inline distT="0" distB="0" distL="0" distR="0" wp14:anchorId="357C967D" wp14:editId="07A6041E">
                <wp:extent cx="4629150" cy="3330609"/>
                <wp:effectExtent l="0" t="0" r="0" b="3175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7558" cy="334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14484" w:rsidRDefault="00C14484" w:rsidP="009127E0">
          <w:pPr>
            <w:pStyle w:val="Sansinterligne"/>
            <w:rPr>
              <w:rFonts w:ascii="Tahoma" w:hAnsi="Tahoma" w:cs="Tahoma"/>
              <w:i/>
              <w:sz w:val="20"/>
              <w:szCs w:val="20"/>
            </w:rPr>
          </w:pPr>
        </w:p>
        <w:p w:rsidR="00C14484" w:rsidRDefault="00C14484" w:rsidP="00C14484">
          <w:pPr>
            <w:pStyle w:val="Sansinterligne"/>
            <w:jc w:val="center"/>
            <w:rPr>
              <w:rFonts w:ascii="Tahoma" w:hAnsi="Tahoma" w:cs="Tahoma"/>
              <w:i/>
              <w:sz w:val="20"/>
              <w:szCs w:val="20"/>
            </w:rPr>
          </w:pPr>
        </w:p>
        <w:p w:rsidR="00C14484" w:rsidRDefault="00C14484" w:rsidP="009127E0">
          <w:pPr>
            <w:pStyle w:val="Sansinterligne"/>
            <w:rPr>
              <w:rFonts w:ascii="Tahoma" w:hAnsi="Tahoma" w:cs="Tahoma"/>
              <w:i/>
              <w:sz w:val="20"/>
              <w:szCs w:val="20"/>
            </w:rPr>
          </w:pPr>
        </w:p>
        <w:p w:rsidR="00C14484" w:rsidRDefault="00C14484" w:rsidP="009127E0">
          <w:pPr>
            <w:pStyle w:val="Sansinterligne"/>
            <w:rPr>
              <w:rFonts w:ascii="Tahoma" w:hAnsi="Tahoma" w:cs="Tahoma"/>
              <w:i/>
              <w:sz w:val="20"/>
              <w:szCs w:val="20"/>
            </w:rPr>
          </w:pPr>
        </w:p>
        <w:p w:rsidR="001A53EF" w:rsidRPr="009127E0" w:rsidRDefault="001A53EF" w:rsidP="009127E0">
          <w:pPr>
            <w:pStyle w:val="Sansinterligne"/>
            <w:rPr>
              <w:rFonts w:ascii="Tahoma" w:hAnsi="Tahoma" w:cs="Tahoma"/>
              <w:i/>
              <w:sz w:val="20"/>
              <w:szCs w:val="20"/>
            </w:rPr>
          </w:pPr>
        </w:p>
        <w:p w:rsidR="009127E0" w:rsidRPr="009127E0" w:rsidRDefault="009127E0" w:rsidP="009127E0">
          <w:pPr>
            <w:pStyle w:val="Sansinterligne"/>
            <w:rPr>
              <w:rFonts w:ascii="Tahoma" w:hAnsi="Tahoma" w:cs="Tahoma"/>
              <w:sz w:val="20"/>
              <w:szCs w:val="20"/>
            </w:rPr>
          </w:pPr>
        </w:p>
        <w:p w:rsidR="00972479" w:rsidRPr="0007497F" w:rsidRDefault="0010280B" w:rsidP="007823E8">
          <w:pPr>
            <w:pBdr>
              <w:top w:val="single" w:sz="4" w:space="1" w:color="D40174"/>
              <w:bottom w:val="single" w:sz="4" w:space="1" w:color="D40174"/>
            </w:pBdr>
            <w:shd w:val="clear" w:color="auto" w:fill="F2F2F2" w:themeFill="background1" w:themeFillShade="F2"/>
            <w:jc w:val="both"/>
            <w:rPr>
              <w:i/>
              <w:sz w:val="20"/>
              <w:szCs w:val="20"/>
            </w:rPr>
          </w:pPr>
          <w:r w:rsidRPr="0007497F">
            <w:rPr>
              <w:rFonts w:ascii="Tahoma" w:hAnsi="Tahoma" w:cs="Tahoma"/>
              <w:i/>
              <w:sz w:val="20"/>
              <w:szCs w:val="20"/>
            </w:rPr>
            <w:t xml:space="preserve">A propos de CREDIXIA – </w:t>
          </w:r>
          <w:hyperlink r:id="rId10" w:history="1">
            <w:r w:rsidRPr="0007497F">
              <w:rPr>
                <w:rStyle w:val="Lienhypertexte"/>
                <w:rFonts w:ascii="Tahoma" w:hAnsi="Tahoma" w:cs="Tahoma"/>
                <w:i/>
                <w:color w:val="D40174"/>
                <w:sz w:val="20"/>
                <w:szCs w:val="20"/>
              </w:rPr>
              <w:t>www.</w:t>
            </w:r>
            <w:r w:rsidRPr="00D95C09">
              <w:rPr>
                <w:rStyle w:val="Lienhypertexte"/>
                <w:rFonts w:ascii="Tahoma" w:hAnsi="Tahoma" w:cs="Tahoma"/>
                <w:i/>
                <w:color w:val="D40174"/>
                <w:sz w:val="20"/>
                <w:szCs w:val="20"/>
              </w:rPr>
              <w:t>credixia</w:t>
            </w:r>
            <w:r w:rsidRPr="0007497F">
              <w:rPr>
                <w:rStyle w:val="Lienhypertexte"/>
                <w:rFonts w:ascii="Tahoma" w:hAnsi="Tahoma" w:cs="Tahoma"/>
                <w:i/>
                <w:color w:val="D40174"/>
                <w:sz w:val="20"/>
                <w:szCs w:val="20"/>
              </w:rPr>
              <w:t>.com</w:t>
            </w:r>
          </w:hyperlink>
          <w:r w:rsidRPr="0007497F">
            <w:rPr>
              <w:rFonts w:ascii="Tahoma" w:hAnsi="Tahoma" w:cs="Tahoma"/>
              <w:i/>
              <w:color w:val="D40174"/>
              <w:sz w:val="20"/>
              <w:szCs w:val="20"/>
            </w:rPr>
            <w:t xml:space="preserve"> </w:t>
          </w:r>
        </w:p>
        <w:p w:rsidR="009A0365" w:rsidRPr="0081099B" w:rsidRDefault="001A53EF" w:rsidP="001911E2">
          <w:pPr>
            <w:pBdr>
              <w:top w:val="single" w:sz="4" w:space="1" w:color="D40174"/>
              <w:bottom w:val="single" w:sz="4" w:space="1" w:color="D40174"/>
            </w:pBdr>
            <w:shd w:val="clear" w:color="auto" w:fill="F2F2F2" w:themeFill="background1" w:themeFillShade="F2"/>
            <w:jc w:val="both"/>
            <w:rPr>
              <w:sz w:val="18"/>
              <w:szCs w:val="18"/>
            </w:rPr>
          </w:pPr>
          <w:r w:rsidRPr="004A7E9B">
            <w:rPr>
              <w:noProof/>
              <w:sz w:val="18"/>
              <w:szCs w:val="18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3236D61" wp14:editId="4127F782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9248775</wp:posOffset>
                    </wp:positionV>
                    <wp:extent cx="5410200" cy="365760"/>
                    <wp:effectExtent l="0" t="0" r="0" b="12065"/>
                    <wp:wrapNone/>
                    <wp:docPr id="32" name="Zone de text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102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34795" w:rsidRPr="0010280B" w:rsidRDefault="004D7A5A" w:rsidP="0010280B">
                                <w:pPr>
                                  <w:pStyle w:val="Sansinterligne"/>
                                  <w:jc w:val="center"/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Contact Presse : </w:t>
                                </w:r>
                                <w:r w:rsidR="0010280B" w:rsidRPr="0010280B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Estelle LAURENT – CREDIXIA – </w:t>
                                </w:r>
                                <w:hyperlink r:id="rId11" w:history="1">
                                  <w:r w:rsidR="0010280B" w:rsidRPr="0010280B">
                                    <w:rPr>
                                      <w:rStyle w:val="Lienhypertexte"/>
                                      <w:rFonts w:ascii="Tahoma" w:hAnsi="Tahoma" w:cs="Tahoma"/>
                                      <w:color w:val="D40174"/>
                                      <w:sz w:val="20"/>
                                      <w:szCs w:val="20"/>
                                    </w:rPr>
                                    <w:t>estelle.laurent@credixia.com</w:t>
                                  </w:r>
                                </w:hyperlink>
                                <w:r w:rsidR="0010280B" w:rsidRPr="0010280B">
                                  <w:rPr>
                                    <w:rFonts w:ascii="Tahoma" w:hAnsi="Tahoma" w:cs="Tahoma"/>
                                    <w:color w:val="D4017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10280B" w:rsidRPr="0010280B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sdt>
                                  <w:sdtPr>
                                    <w:rPr>
                                      <w:rFonts w:ascii="Tahoma" w:hAnsi="Tahoma" w:cs="Tahoma"/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Société"/>
                                    <w:tag w:val=""/>
                                    <w:id w:val="-199448270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0280B" w:rsidRPr="0010280B">
                                      <w:rPr>
                                        <w:rFonts w:ascii="Tahoma" w:hAnsi="Tahoma" w:cs="Tahoma"/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  <w:r w:rsidR="0010280B" w:rsidRPr="0010280B">
                                  <w:rPr>
                                    <w:rFonts w:ascii="Tahoma" w:hAnsi="Tahoma" w:cs="Tahoma"/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01 85 56 22 37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236D61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2" o:spid="_x0000_s1026" type="#_x0000_t202" style="position:absolute;left:0;text-align:left;margin-left:0;margin-top:728.25pt;width:426pt;height:28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" filled="f" stroked="f" strokeweight=".5pt">
                    <v:textbox style="mso-fit-shape-to-text:t" inset="0,0,0,0">
                      <w:txbxContent>
                        <w:p w:rsidR="00734795" w:rsidRPr="0010280B" w:rsidRDefault="004D7A5A" w:rsidP="0010280B">
                          <w:pPr>
                            <w:pStyle w:val="Sansinterligne"/>
                            <w:jc w:val="center"/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Contact Presse : </w:t>
                          </w:r>
                          <w:r w:rsidR="0010280B" w:rsidRPr="0010280B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Estelle LAURENT – CREDIXIA – </w:t>
                          </w:r>
                          <w:hyperlink r:id="rId12" w:history="1">
                            <w:r w:rsidR="0010280B" w:rsidRPr="0010280B">
                              <w:rPr>
                                <w:rStyle w:val="Lienhypertexte"/>
                                <w:rFonts w:ascii="Tahoma" w:hAnsi="Tahoma" w:cs="Tahoma"/>
                                <w:color w:val="D40174"/>
                                <w:sz w:val="20"/>
                                <w:szCs w:val="20"/>
                              </w:rPr>
                              <w:t>estelle.laurent@credixia.com</w:t>
                            </w:r>
                          </w:hyperlink>
                          <w:r w:rsidR="0010280B" w:rsidRPr="0010280B">
                            <w:rPr>
                              <w:rFonts w:ascii="Tahoma" w:hAnsi="Tahoma" w:cs="Tahoma"/>
                              <w:color w:val="D40174"/>
                              <w:sz w:val="20"/>
                              <w:szCs w:val="20"/>
                            </w:rPr>
                            <w:t xml:space="preserve"> </w:t>
                          </w:r>
                          <w:r w:rsidR="0010280B" w:rsidRPr="0010280B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>–</w:t>
                          </w:r>
                          <w:sdt>
                            <w:sdtPr>
                              <w:rPr>
                                <w:rFonts w:ascii="Tahoma" w:hAnsi="Tahoma" w:cs="Tahoma"/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Société"/>
                              <w:tag w:val=""/>
                              <w:id w:val="-199448270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0280B" w:rsidRPr="0010280B">
                                <w:rPr>
                                  <w:rFonts w:ascii="Tahoma" w:hAnsi="Tahoma" w:cs="Tahoma"/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sdtContent>
                          </w:sdt>
                          <w:r w:rsidR="0010280B" w:rsidRPr="0010280B">
                            <w:rPr>
                              <w:rFonts w:ascii="Tahoma" w:hAnsi="Tahoma" w:cs="Tahoma"/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t>01 85 56 22 37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095E90" w:rsidRPr="004A7E9B">
            <w:rPr>
              <w:rFonts w:ascii="Tahoma" w:hAnsi="Tahoma" w:cs="Tahoma"/>
              <w:i/>
              <w:sz w:val="18"/>
              <w:szCs w:val="18"/>
            </w:rPr>
            <w:t xml:space="preserve">Depuis </w:t>
          </w:r>
          <w:r w:rsidR="0010280B" w:rsidRPr="004A7E9B">
            <w:rPr>
              <w:rFonts w:ascii="Tahoma" w:hAnsi="Tahoma" w:cs="Tahoma"/>
              <w:i/>
              <w:sz w:val="18"/>
              <w:szCs w:val="18"/>
            </w:rPr>
            <w:t xml:space="preserve">1999, CREDIXIA </w:t>
          </w:r>
          <w:r w:rsidR="00095E90" w:rsidRPr="004A7E9B">
            <w:rPr>
              <w:rFonts w:ascii="Tahoma" w:hAnsi="Tahoma" w:cs="Tahoma"/>
              <w:i/>
              <w:sz w:val="18"/>
              <w:szCs w:val="18"/>
            </w:rPr>
            <w:t xml:space="preserve">conseille les emprunteurs dans la recherche de </w:t>
          </w:r>
          <w:r w:rsidR="0081099B">
            <w:rPr>
              <w:rFonts w:ascii="Tahoma" w:hAnsi="Tahoma" w:cs="Tahoma"/>
              <w:i/>
              <w:sz w:val="18"/>
              <w:szCs w:val="18"/>
            </w:rPr>
            <w:t xml:space="preserve">leurs financements immobiliers. La </w:t>
          </w:r>
          <w:r w:rsidR="0081099B" w:rsidRPr="0081099B">
            <w:rPr>
              <w:rFonts w:ascii="Tahoma" w:hAnsi="Tahoma" w:cs="Tahoma"/>
              <w:i/>
              <w:sz w:val="18"/>
              <w:szCs w:val="18"/>
            </w:rPr>
            <w:t xml:space="preserve">stratégie de développement basée sur le « tout gratuit » </w:t>
          </w:r>
          <w:r w:rsidR="0081099B">
            <w:rPr>
              <w:rFonts w:ascii="Tahoma" w:hAnsi="Tahoma" w:cs="Tahoma"/>
              <w:i/>
              <w:sz w:val="18"/>
              <w:szCs w:val="18"/>
            </w:rPr>
            <w:t xml:space="preserve">est un </w:t>
          </w:r>
          <w:r w:rsidR="0081099B" w:rsidRPr="0081099B">
            <w:rPr>
              <w:rFonts w:ascii="Tahoma" w:hAnsi="Tahoma" w:cs="Tahoma"/>
              <w:i/>
              <w:sz w:val="18"/>
              <w:szCs w:val="18"/>
            </w:rPr>
            <w:t>concept innovant dans le secteur du courtage en crédits immobiliers</w:t>
          </w:r>
          <w:r w:rsidR="002D21F3">
            <w:rPr>
              <w:rFonts w:ascii="Tahoma" w:hAnsi="Tahoma" w:cs="Tahoma"/>
              <w:i/>
              <w:sz w:val="18"/>
              <w:szCs w:val="18"/>
            </w:rPr>
            <w:t xml:space="preserve">. </w:t>
          </w:r>
          <w:r w:rsidR="00095E90" w:rsidRPr="004A7E9B">
            <w:rPr>
              <w:rFonts w:ascii="Tahoma" w:hAnsi="Tahoma" w:cs="Tahoma"/>
              <w:i/>
              <w:sz w:val="18"/>
              <w:szCs w:val="18"/>
            </w:rPr>
            <w:t>CREDIXIA est i</w:t>
          </w:r>
          <w:r w:rsidR="0010280B" w:rsidRPr="004A7E9B">
            <w:rPr>
              <w:rFonts w:ascii="Tahoma" w:hAnsi="Tahoma" w:cs="Tahoma"/>
              <w:i/>
              <w:sz w:val="18"/>
              <w:szCs w:val="18"/>
            </w:rPr>
            <w:t>ndépendant de toutes institutions financiè</w:t>
          </w:r>
          <w:r w:rsidR="00095E90" w:rsidRPr="004A7E9B">
            <w:rPr>
              <w:rFonts w:ascii="Tahoma" w:hAnsi="Tahoma" w:cs="Tahoma"/>
              <w:i/>
              <w:sz w:val="18"/>
              <w:szCs w:val="18"/>
            </w:rPr>
            <w:t>res</w:t>
          </w:r>
          <w:r w:rsidR="0010280B" w:rsidRPr="004A7E9B">
            <w:rPr>
              <w:rFonts w:ascii="Tahoma" w:hAnsi="Tahoma" w:cs="Tahoma"/>
              <w:i/>
              <w:sz w:val="18"/>
              <w:szCs w:val="18"/>
            </w:rPr>
            <w:t xml:space="preserve">. </w:t>
          </w:r>
          <w:r w:rsidR="00A86342" w:rsidRPr="004A7E9B">
            <w:rPr>
              <w:rFonts w:ascii="Tahoma" w:hAnsi="Tahoma" w:cs="Tahoma"/>
              <w:i/>
              <w:sz w:val="18"/>
              <w:szCs w:val="18"/>
            </w:rPr>
            <w:t>En tant que</w:t>
          </w:r>
          <w:r w:rsidR="0010280B" w:rsidRPr="004A7E9B">
            <w:rPr>
              <w:rFonts w:ascii="Tahoma" w:hAnsi="Tahoma" w:cs="Tahoma"/>
              <w:i/>
              <w:sz w:val="18"/>
              <w:szCs w:val="18"/>
            </w:rPr>
            <w:t xml:space="preserve"> membre de l’</w:t>
          </w:r>
          <w:r w:rsidR="00A86342" w:rsidRPr="004A7E9B">
            <w:rPr>
              <w:rFonts w:ascii="Tahoma" w:hAnsi="Tahoma" w:cs="Tahoma"/>
              <w:i/>
              <w:sz w:val="18"/>
              <w:szCs w:val="18"/>
            </w:rPr>
            <w:t>AFIB, Association Française des Intermédiaires Bancaires</w:t>
          </w:r>
          <w:r w:rsidR="0010280B" w:rsidRPr="004A7E9B">
            <w:rPr>
              <w:rFonts w:ascii="Tahoma" w:hAnsi="Tahoma" w:cs="Tahoma"/>
              <w:i/>
              <w:sz w:val="18"/>
              <w:szCs w:val="18"/>
            </w:rPr>
            <w:t>,</w:t>
          </w:r>
          <w:r w:rsidR="00A86342" w:rsidRPr="004A7E9B">
            <w:rPr>
              <w:rFonts w:ascii="Tahoma" w:hAnsi="Tahoma" w:cs="Tahoma"/>
              <w:i/>
              <w:sz w:val="18"/>
              <w:szCs w:val="18"/>
            </w:rPr>
            <w:t xml:space="preserve"> CREDIXIA</w:t>
          </w:r>
          <w:r w:rsidR="0010280B" w:rsidRPr="004A7E9B">
            <w:rPr>
              <w:rFonts w:ascii="Tahoma" w:hAnsi="Tahoma" w:cs="Tahoma"/>
              <w:i/>
              <w:sz w:val="18"/>
              <w:szCs w:val="18"/>
            </w:rPr>
            <w:t xml:space="preserve"> s’engage à en respecter le code éthique.</w:t>
          </w:r>
          <w:r w:rsidR="00C81FB3" w:rsidRPr="004A7E9B">
            <w:rPr>
              <w:rFonts w:ascii="Tahoma" w:hAnsi="Tahoma" w:cs="Tahoma"/>
              <w:i/>
              <w:sz w:val="18"/>
              <w:szCs w:val="18"/>
            </w:rPr>
            <w:t xml:space="preserve"> CREDIXIA propose également des solutions pour les crédits profession</w:t>
          </w:r>
          <w:r w:rsidR="0081099B">
            <w:rPr>
              <w:rFonts w:ascii="Tahoma" w:hAnsi="Tahoma" w:cs="Tahoma"/>
              <w:i/>
              <w:sz w:val="18"/>
              <w:szCs w:val="18"/>
            </w:rPr>
            <w:t xml:space="preserve">nels et les rachats de crédits. Grâce à sa filiale INIXIA, </w:t>
          </w:r>
          <w:r w:rsidR="00253C70">
            <w:rPr>
              <w:rFonts w:ascii="Tahoma" w:hAnsi="Tahoma" w:cs="Tahoma"/>
              <w:i/>
              <w:sz w:val="18"/>
              <w:szCs w:val="18"/>
            </w:rPr>
            <w:t xml:space="preserve">tous les emprunteurs bénéficient </w:t>
          </w:r>
          <w:r w:rsidR="00377C72">
            <w:rPr>
              <w:rFonts w:ascii="Tahoma" w:hAnsi="Tahoma" w:cs="Tahoma"/>
              <w:i/>
              <w:sz w:val="18"/>
              <w:szCs w:val="18"/>
            </w:rPr>
            <w:t xml:space="preserve">d’une assurance de prêt au meilleur rapport qualité-prix. </w:t>
          </w:r>
        </w:p>
      </w:sdtContent>
    </w:sdt>
    <w:sectPr w:rsidR="009A0365" w:rsidRPr="0081099B" w:rsidSect="00734795">
      <w:head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AF1" w:rsidRDefault="001B5AF1" w:rsidP="001B5AF1">
      <w:pPr>
        <w:spacing w:after="0" w:line="240" w:lineRule="auto"/>
      </w:pPr>
      <w:r>
        <w:separator/>
      </w:r>
    </w:p>
  </w:endnote>
  <w:endnote w:type="continuationSeparator" w:id="0">
    <w:p w:rsidR="001B5AF1" w:rsidRDefault="001B5AF1" w:rsidP="001B5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  <w:font w:name="Tw Cen MT Condensed"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AF1" w:rsidRDefault="001B5AF1" w:rsidP="001B5AF1">
      <w:pPr>
        <w:spacing w:after="0" w:line="240" w:lineRule="auto"/>
      </w:pPr>
      <w:r>
        <w:separator/>
      </w:r>
    </w:p>
  </w:footnote>
  <w:footnote w:type="continuationSeparator" w:id="0">
    <w:p w:rsidR="001B5AF1" w:rsidRDefault="001B5AF1" w:rsidP="001B5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9BD" w:rsidRDefault="000517DC" w:rsidP="003E12DB">
    <w:pPr>
      <w:pStyle w:val="En-tte"/>
      <w:tabs>
        <w:tab w:val="left" w:pos="2490"/>
      </w:tabs>
    </w:pPr>
    <w:r>
      <w:rPr>
        <w:noProof/>
      </w:rPr>
      <w:drawing>
        <wp:inline distT="0" distB="0" distL="0" distR="0" wp14:anchorId="545C9208">
          <wp:extent cx="1847850" cy="970583"/>
          <wp:effectExtent l="0" t="0" r="0" b="127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622" cy="97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B5AF1" w:rsidRDefault="006C49BD" w:rsidP="001B5AF1">
    <w:pPr>
      <w:pStyle w:val="En-tte"/>
      <w:jc w:val="center"/>
    </w:pPr>
    <w: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769A"/>
    <w:multiLevelType w:val="hybridMultilevel"/>
    <w:tmpl w:val="A4E215C6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9AE7B24"/>
    <w:multiLevelType w:val="hybridMultilevel"/>
    <w:tmpl w:val="B43273DE"/>
    <w:lvl w:ilvl="0" w:tplc="8EBC3C04">
      <w:start w:val="108"/>
      <w:numFmt w:val="bullet"/>
      <w:lvlText w:val="-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B160E"/>
    <w:multiLevelType w:val="hybridMultilevel"/>
    <w:tmpl w:val="16981D06"/>
    <w:lvl w:ilvl="0" w:tplc="50BCC76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908A6"/>
    <w:multiLevelType w:val="hybridMultilevel"/>
    <w:tmpl w:val="EAD82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933EF"/>
    <w:multiLevelType w:val="hybridMultilevel"/>
    <w:tmpl w:val="2D5EC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01579"/>
    <w:multiLevelType w:val="hybridMultilevel"/>
    <w:tmpl w:val="246A5B62"/>
    <w:lvl w:ilvl="0" w:tplc="5AF629B4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E41E5"/>
    <w:multiLevelType w:val="hybridMultilevel"/>
    <w:tmpl w:val="C622AEAC"/>
    <w:lvl w:ilvl="0" w:tplc="8F42564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E22C8"/>
    <w:multiLevelType w:val="hybridMultilevel"/>
    <w:tmpl w:val="4B600C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82218"/>
    <w:multiLevelType w:val="hybridMultilevel"/>
    <w:tmpl w:val="086EA366"/>
    <w:lvl w:ilvl="0" w:tplc="3976BA4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A48CF"/>
    <w:multiLevelType w:val="hybridMultilevel"/>
    <w:tmpl w:val="F37A5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86825"/>
    <w:multiLevelType w:val="hybridMultilevel"/>
    <w:tmpl w:val="D12AE7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A3CB8"/>
    <w:multiLevelType w:val="hybridMultilevel"/>
    <w:tmpl w:val="2B8E5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F578D"/>
    <w:multiLevelType w:val="hybridMultilevel"/>
    <w:tmpl w:val="01FED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11B1A"/>
    <w:multiLevelType w:val="hybridMultilevel"/>
    <w:tmpl w:val="E04C6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E181D"/>
    <w:multiLevelType w:val="hybridMultilevel"/>
    <w:tmpl w:val="7B0C1B5C"/>
    <w:lvl w:ilvl="0" w:tplc="50BCC76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14"/>
  </w:num>
  <w:num w:numId="7">
    <w:abstractNumId w:val="6"/>
  </w:num>
  <w:num w:numId="8">
    <w:abstractNumId w:val="8"/>
  </w:num>
  <w:num w:numId="9">
    <w:abstractNumId w:val="10"/>
  </w:num>
  <w:num w:numId="10">
    <w:abstractNumId w:val="12"/>
  </w:num>
  <w:num w:numId="11">
    <w:abstractNumId w:val="7"/>
  </w:num>
  <w:num w:numId="12">
    <w:abstractNumId w:val="13"/>
  </w:num>
  <w:num w:numId="13">
    <w:abstractNumId w:val="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95"/>
    <w:rsid w:val="00001BC9"/>
    <w:rsid w:val="00012F78"/>
    <w:rsid w:val="00013B28"/>
    <w:rsid w:val="00016024"/>
    <w:rsid w:val="000177D8"/>
    <w:rsid w:val="000177D9"/>
    <w:rsid w:val="00024C44"/>
    <w:rsid w:val="00032572"/>
    <w:rsid w:val="00036948"/>
    <w:rsid w:val="000411EC"/>
    <w:rsid w:val="00042836"/>
    <w:rsid w:val="000472C4"/>
    <w:rsid w:val="000517DC"/>
    <w:rsid w:val="00051971"/>
    <w:rsid w:val="00052413"/>
    <w:rsid w:val="00054A90"/>
    <w:rsid w:val="00054F30"/>
    <w:rsid w:val="00056272"/>
    <w:rsid w:val="00057496"/>
    <w:rsid w:val="00060A2B"/>
    <w:rsid w:val="0006176A"/>
    <w:rsid w:val="00072270"/>
    <w:rsid w:val="00073ED0"/>
    <w:rsid w:val="0007497F"/>
    <w:rsid w:val="000751FE"/>
    <w:rsid w:val="00075517"/>
    <w:rsid w:val="00077F67"/>
    <w:rsid w:val="00082A9C"/>
    <w:rsid w:val="00085FA0"/>
    <w:rsid w:val="00087E64"/>
    <w:rsid w:val="00092FC3"/>
    <w:rsid w:val="00095952"/>
    <w:rsid w:val="00095E90"/>
    <w:rsid w:val="000A3E3B"/>
    <w:rsid w:val="000A4816"/>
    <w:rsid w:val="000A6EAF"/>
    <w:rsid w:val="000B59E9"/>
    <w:rsid w:val="000B76C4"/>
    <w:rsid w:val="000B7AD1"/>
    <w:rsid w:val="000C3B8E"/>
    <w:rsid w:val="000C5741"/>
    <w:rsid w:val="000C5DCF"/>
    <w:rsid w:val="000E21D2"/>
    <w:rsid w:val="000E34E6"/>
    <w:rsid w:val="000E3E9B"/>
    <w:rsid w:val="000E4A5B"/>
    <w:rsid w:val="000E636A"/>
    <w:rsid w:val="000E6691"/>
    <w:rsid w:val="000E6FAF"/>
    <w:rsid w:val="000E768D"/>
    <w:rsid w:val="000E7EA3"/>
    <w:rsid w:val="000E7FF9"/>
    <w:rsid w:val="000F08AB"/>
    <w:rsid w:val="000F5E0C"/>
    <w:rsid w:val="0010179D"/>
    <w:rsid w:val="0010280B"/>
    <w:rsid w:val="00102D5F"/>
    <w:rsid w:val="00111DB4"/>
    <w:rsid w:val="00112B17"/>
    <w:rsid w:val="001168CC"/>
    <w:rsid w:val="00116BCB"/>
    <w:rsid w:val="00116E57"/>
    <w:rsid w:val="001176C2"/>
    <w:rsid w:val="00117D99"/>
    <w:rsid w:val="00121366"/>
    <w:rsid w:val="00121FA4"/>
    <w:rsid w:val="0012647E"/>
    <w:rsid w:val="00126A3F"/>
    <w:rsid w:val="00126B1D"/>
    <w:rsid w:val="001302BE"/>
    <w:rsid w:val="001328BB"/>
    <w:rsid w:val="00133761"/>
    <w:rsid w:val="0014129C"/>
    <w:rsid w:val="00144547"/>
    <w:rsid w:val="00144559"/>
    <w:rsid w:val="00145F16"/>
    <w:rsid w:val="00147C2B"/>
    <w:rsid w:val="00150491"/>
    <w:rsid w:val="0015369E"/>
    <w:rsid w:val="00161F66"/>
    <w:rsid w:val="0016309B"/>
    <w:rsid w:val="00166CF9"/>
    <w:rsid w:val="00174A2F"/>
    <w:rsid w:val="00175841"/>
    <w:rsid w:val="001836D5"/>
    <w:rsid w:val="00185F97"/>
    <w:rsid w:val="00190CE9"/>
    <w:rsid w:val="001911E2"/>
    <w:rsid w:val="00194322"/>
    <w:rsid w:val="00195B6D"/>
    <w:rsid w:val="00195E4B"/>
    <w:rsid w:val="00195FAB"/>
    <w:rsid w:val="00196CAF"/>
    <w:rsid w:val="001A14FF"/>
    <w:rsid w:val="001A34B7"/>
    <w:rsid w:val="001A53EF"/>
    <w:rsid w:val="001A5BEE"/>
    <w:rsid w:val="001B07DF"/>
    <w:rsid w:val="001B17AA"/>
    <w:rsid w:val="001B5AF1"/>
    <w:rsid w:val="001C4203"/>
    <w:rsid w:val="001D623F"/>
    <w:rsid w:val="001E095D"/>
    <w:rsid w:val="001E0BBE"/>
    <w:rsid w:val="001E1078"/>
    <w:rsid w:val="001E7B42"/>
    <w:rsid w:val="001F0CF0"/>
    <w:rsid w:val="001F1110"/>
    <w:rsid w:val="001F7608"/>
    <w:rsid w:val="0020171B"/>
    <w:rsid w:val="002023AD"/>
    <w:rsid w:val="0020716F"/>
    <w:rsid w:val="00207C58"/>
    <w:rsid w:val="002108B0"/>
    <w:rsid w:val="002112E6"/>
    <w:rsid w:val="00211F3D"/>
    <w:rsid w:val="0021252E"/>
    <w:rsid w:val="00212DD6"/>
    <w:rsid w:val="00214C8C"/>
    <w:rsid w:val="002175E9"/>
    <w:rsid w:val="00220D2B"/>
    <w:rsid w:val="002301C3"/>
    <w:rsid w:val="002308C4"/>
    <w:rsid w:val="00233F03"/>
    <w:rsid w:val="002353F0"/>
    <w:rsid w:val="00240A22"/>
    <w:rsid w:val="00243651"/>
    <w:rsid w:val="00245D45"/>
    <w:rsid w:val="00246BC1"/>
    <w:rsid w:val="00247123"/>
    <w:rsid w:val="00247B2F"/>
    <w:rsid w:val="002519AB"/>
    <w:rsid w:val="00253C70"/>
    <w:rsid w:val="002563A2"/>
    <w:rsid w:val="00257801"/>
    <w:rsid w:val="00261163"/>
    <w:rsid w:val="00261A6E"/>
    <w:rsid w:val="00261C13"/>
    <w:rsid w:val="00262B38"/>
    <w:rsid w:val="00264C58"/>
    <w:rsid w:val="00270277"/>
    <w:rsid w:val="0027051E"/>
    <w:rsid w:val="00272ABF"/>
    <w:rsid w:val="00273D89"/>
    <w:rsid w:val="00275F50"/>
    <w:rsid w:val="00277A8F"/>
    <w:rsid w:val="00285063"/>
    <w:rsid w:val="002851D1"/>
    <w:rsid w:val="00285822"/>
    <w:rsid w:val="00287B9D"/>
    <w:rsid w:val="002965C3"/>
    <w:rsid w:val="002A4186"/>
    <w:rsid w:val="002A601B"/>
    <w:rsid w:val="002A77F7"/>
    <w:rsid w:val="002A7DB7"/>
    <w:rsid w:val="002B0165"/>
    <w:rsid w:val="002B03F7"/>
    <w:rsid w:val="002B7B1C"/>
    <w:rsid w:val="002C0380"/>
    <w:rsid w:val="002C1211"/>
    <w:rsid w:val="002C1491"/>
    <w:rsid w:val="002C23DB"/>
    <w:rsid w:val="002C5857"/>
    <w:rsid w:val="002C7518"/>
    <w:rsid w:val="002D21F3"/>
    <w:rsid w:val="002D2202"/>
    <w:rsid w:val="002D3111"/>
    <w:rsid w:val="002D5B5C"/>
    <w:rsid w:val="002D6A6E"/>
    <w:rsid w:val="002E23C6"/>
    <w:rsid w:val="002E2824"/>
    <w:rsid w:val="002E6182"/>
    <w:rsid w:val="002E69C1"/>
    <w:rsid w:val="002F3542"/>
    <w:rsid w:val="002F46FE"/>
    <w:rsid w:val="002F4FD3"/>
    <w:rsid w:val="002F5841"/>
    <w:rsid w:val="002F76BF"/>
    <w:rsid w:val="00300781"/>
    <w:rsid w:val="00300BF0"/>
    <w:rsid w:val="00302C2D"/>
    <w:rsid w:val="00302CEE"/>
    <w:rsid w:val="00304201"/>
    <w:rsid w:val="003044D4"/>
    <w:rsid w:val="00306037"/>
    <w:rsid w:val="00311730"/>
    <w:rsid w:val="00312E4D"/>
    <w:rsid w:val="0031575A"/>
    <w:rsid w:val="00317EFF"/>
    <w:rsid w:val="0032022E"/>
    <w:rsid w:val="003227EF"/>
    <w:rsid w:val="00327196"/>
    <w:rsid w:val="00331457"/>
    <w:rsid w:val="00333572"/>
    <w:rsid w:val="00333A17"/>
    <w:rsid w:val="003424BE"/>
    <w:rsid w:val="00343D2A"/>
    <w:rsid w:val="00350DB0"/>
    <w:rsid w:val="0035143A"/>
    <w:rsid w:val="003554E0"/>
    <w:rsid w:val="00361133"/>
    <w:rsid w:val="00361823"/>
    <w:rsid w:val="00364024"/>
    <w:rsid w:val="00372844"/>
    <w:rsid w:val="00372965"/>
    <w:rsid w:val="00373500"/>
    <w:rsid w:val="003735E4"/>
    <w:rsid w:val="003755CE"/>
    <w:rsid w:val="00376ACD"/>
    <w:rsid w:val="00377C72"/>
    <w:rsid w:val="00382978"/>
    <w:rsid w:val="003872D9"/>
    <w:rsid w:val="003931A3"/>
    <w:rsid w:val="003B5BCA"/>
    <w:rsid w:val="003B6402"/>
    <w:rsid w:val="003C085F"/>
    <w:rsid w:val="003C09FA"/>
    <w:rsid w:val="003C0B4F"/>
    <w:rsid w:val="003C3C80"/>
    <w:rsid w:val="003C4E81"/>
    <w:rsid w:val="003C5E75"/>
    <w:rsid w:val="003C7FA0"/>
    <w:rsid w:val="003D46D4"/>
    <w:rsid w:val="003D6FE8"/>
    <w:rsid w:val="003E0DEC"/>
    <w:rsid w:val="003E12DB"/>
    <w:rsid w:val="003E341E"/>
    <w:rsid w:val="003E3488"/>
    <w:rsid w:val="003E3668"/>
    <w:rsid w:val="003F25B7"/>
    <w:rsid w:val="00401776"/>
    <w:rsid w:val="004019DC"/>
    <w:rsid w:val="004057C7"/>
    <w:rsid w:val="004070D9"/>
    <w:rsid w:val="00407220"/>
    <w:rsid w:val="00412F1F"/>
    <w:rsid w:val="00414F1D"/>
    <w:rsid w:val="00415A1F"/>
    <w:rsid w:val="004201BF"/>
    <w:rsid w:val="004220F3"/>
    <w:rsid w:val="004228C2"/>
    <w:rsid w:val="00422C72"/>
    <w:rsid w:val="0042387F"/>
    <w:rsid w:val="00424A60"/>
    <w:rsid w:val="004256DC"/>
    <w:rsid w:val="00426F1C"/>
    <w:rsid w:val="00430022"/>
    <w:rsid w:val="004305CA"/>
    <w:rsid w:val="00431A6C"/>
    <w:rsid w:val="00436DD4"/>
    <w:rsid w:val="00440A07"/>
    <w:rsid w:val="00440AB2"/>
    <w:rsid w:val="00440DC4"/>
    <w:rsid w:val="0044386F"/>
    <w:rsid w:val="004457D4"/>
    <w:rsid w:val="004462AA"/>
    <w:rsid w:val="00447787"/>
    <w:rsid w:val="00452953"/>
    <w:rsid w:val="00452A40"/>
    <w:rsid w:val="00453928"/>
    <w:rsid w:val="00454C10"/>
    <w:rsid w:val="004614DF"/>
    <w:rsid w:val="004655A3"/>
    <w:rsid w:val="00465E44"/>
    <w:rsid w:val="004663C7"/>
    <w:rsid w:val="00466511"/>
    <w:rsid w:val="00481A03"/>
    <w:rsid w:val="00481DDA"/>
    <w:rsid w:val="004832AA"/>
    <w:rsid w:val="00483C0E"/>
    <w:rsid w:val="004840D4"/>
    <w:rsid w:val="00486613"/>
    <w:rsid w:val="00487F32"/>
    <w:rsid w:val="004929D9"/>
    <w:rsid w:val="00494829"/>
    <w:rsid w:val="00495E88"/>
    <w:rsid w:val="004970EA"/>
    <w:rsid w:val="004A0B3D"/>
    <w:rsid w:val="004A0FF0"/>
    <w:rsid w:val="004A2CD9"/>
    <w:rsid w:val="004A7E9B"/>
    <w:rsid w:val="004B1835"/>
    <w:rsid w:val="004B3944"/>
    <w:rsid w:val="004B7E7B"/>
    <w:rsid w:val="004C5962"/>
    <w:rsid w:val="004D0D97"/>
    <w:rsid w:val="004D4BAE"/>
    <w:rsid w:val="004D7A5A"/>
    <w:rsid w:val="004E1126"/>
    <w:rsid w:val="004E3378"/>
    <w:rsid w:val="004E3A53"/>
    <w:rsid w:val="004E5EC0"/>
    <w:rsid w:val="004F0D14"/>
    <w:rsid w:val="004F1C07"/>
    <w:rsid w:val="00500347"/>
    <w:rsid w:val="00502068"/>
    <w:rsid w:val="00503111"/>
    <w:rsid w:val="00504CF9"/>
    <w:rsid w:val="005066ED"/>
    <w:rsid w:val="00506C70"/>
    <w:rsid w:val="00506EA4"/>
    <w:rsid w:val="005070A2"/>
    <w:rsid w:val="00510803"/>
    <w:rsid w:val="005108F5"/>
    <w:rsid w:val="00510A5D"/>
    <w:rsid w:val="00511081"/>
    <w:rsid w:val="00512503"/>
    <w:rsid w:val="005126A6"/>
    <w:rsid w:val="00512EBC"/>
    <w:rsid w:val="00513B33"/>
    <w:rsid w:val="00513F00"/>
    <w:rsid w:val="00522BBE"/>
    <w:rsid w:val="00522CE0"/>
    <w:rsid w:val="00524D79"/>
    <w:rsid w:val="00525E42"/>
    <w:rsid w:val="00531F3C"/>
    <w:rsid w:val="00535715"/>
    <w:rsid w:val="00541257"/>
    <w:rsid w:val="00551E56"/>
    <w:rsid w:val="00553952"/>
    <w:rsid w:val="00554354"/>
    <w:rsid w:val="005549DF"/>
    <w:rsid w:val="00554A8F"/>
    <w:rsid w:val="00555FB3"/>
    <w:rsid w:val="00566665"/>
    <w:rsid w:val="005713F2"/>
    <w:rsid w:val="00572884"/>
    <w:rsid w:val="0057293F"/>
    <w:rsid w:val="00576C59"/>
    <w:rsid w:val="0057758E"/>
    <w:rsid w:val="00581140"/>
    <w:rsid w:val="005817FE"/>
    <w:rsid w:val="00583851"/>
    <w:rsid w:val="00584D50"/>
    <w:rsid w:val="00584F40"/>
    <w:rsid w:val="00595766"/>
    <w:rsid w:val="00596719"/>
    <w:rsid w:val="00596890"/>
    <w:rsid w:val="005A0046"/>
    <w:rsid w:val="005A0BC2"/>
    <w:rsid w:val="005A32C4"/>
    <w:rsid w:val="005A3C6F"/>
    <w:rsid w:val="005A53DD"/>
    <w:rsid w:val="005B1B5F"/>
    <w:rsid w:val="005C03EA"/>
    <w:rsid w:val="005C27EC"/>
    <w:rsid w:val="005C41E3"/>
    <w:rsid w:val="005C5A35"/>
    <w:rsid w:val="005C5F2C"/>
    <w:rsid w:val="005C67A7"/>
    <w:rsid w:val="005D16BF"/>
    <w:rsid w:val="005D7B32"/>
    <w:rsid w:val="005E1012"/>
    <w:rsid w:val="005E3265"/>
    <w:rsid w:val="005E4327"/>
    <w:rsid w:val="005E4C1E"/>
    <w:rsid w:val="005E7289"/>
    <w:rsid w:val="005F1BFA"/>
    <w:rsid w:val="005F2CB1"/>
    <w:rsid w:val="005F45CA"/>
    <w:rsid w:val="005F56D1"/>
    <w:rsid w:val="005F74AC"/>
    <w:rsid w:val="00602CC6"/>
    <w:rsid w:val="00604FA4"/>
    <w:rsid w:val="00605C84"/>
    <w:rsid w:val="006075FF"/>
    <w:rsid w:val="006117FA"/>
    <w:rsid w:val="006204DA"/>
    <w:rsid w:val="00623471"/>
    <w:rsid w:val="00626C08"/>
    <w:rsid w:val="00631AED"/>
    <w:rsid w:val="00632F5C"/>
    <w:rsid w:val="006338BE"/>
    <w:rsid w:val="00641582"/>
    <w:rsid w:val="00642CAC"/>
    <w:rsid w:val="00644BA8"/>
    <w:rsid w:val="00644F43"/>
    <w:rsid w:val="006454BC"/>
    <w:rsid w:val="006527F7"/>
    <w:rsid w:val="00653766"/>
    <w:rsid w:val="00655363"/>
    <w:rsid w:val="00656D51"/>
    <w:rsid w:val="0066367B"/>
    <w:rsid w:val="006708AE"/>
    <w:rsid w:val="006748E2"/>
    <w:rsid w:val="0068070E"/>
    <w:rsid w:val="00680922"/>
    <w:rsid w:val="00683558"/>
    <w:rsid w:val="00683D8A"/>
    <w:rsid w:val="00684020"/>
    <w:rsid w:val="00691AA7"/>
    <w:rsid w:val="00693EEE"/>
    <w:rsid w:val="00696FBA"/>
    <w:rsid w:val="006A3EF6"/>
    <w:rsid w:val="006A6058"/>
    <w:rsid w:val="006B2457"/>
    <w:rsid w:val="006B2839"/>
    <w:rsid w:val="006B3942"/>
    <w:rsid w:val="006B40CF"/>
    <w:rsid w:val="006B4434"/>
    <w:rsid w:val="006B7C11"/>
    <w:rsid w:val="006C267F"/>
    <w:rsid w:val="006C49BD"/>
    <w:rsid w:val="006C4D8F"/>
    <w:rsid w:val="006D23E5"/>
    <w:rsid w:val="006D280B"/>
    <w:rsid w:val="006D6EC3"/>
    <w:rsid w:val="006E324A"/>
    <w:rsid w:val="006E3ED1"/>
    <w:rsid w:val="006E6087"/>
    <w:rsid w:val="006F03E1"/>
    <w:rsid w:val="006F321C"/>
    <w:rsid w:val="006F3D72"/>
    <w:rsid w:val="00703FE4"/>
    <w:rsid w:val="00704773"/>
    <w:rsid w:val="007051DC"/>
    <w:rsid w:val="0070541D"/>
    <w:rsid w:val="00707706"/>
    <w:rsid w:val="00710EAD"/>
    <w:rsid w:val="00716BAE"/>
    <w:rsid w:val="00724C62"/>
    <w:rsid w:val="007306C9"/>
    <w:rsid w:val="00732795"/>
    <w:rsid w:val="007339E1"/>
    <w:rsid w:val="00734795"/>
    <w:rsid w:val="00736881"/>
    <w:rsid w:val="007403A1"/>
    <w:rsid w:val="00742092"/>
    <w:rsid w:val="00744F8C"/>
    <w:rsid w:val="00746658"/>
    <w:rsid w:val="00751AE9"/>
    <w:rsid w:val="00752BB6"/>
    <w:rsid w:val="007530C7"/>
    <w:rsid w:val="007565A0"/>
    <w:rsid w:val="0076094A"/>
    <w:rsid w:val="007719AF"/>
    <w:rsid w:val="00773043"/>
    <w:rsid w:val="00776090"/>
    <w:rsid w:val="0077727D"/>
    <w:rsid w:val="00782019"/>
    <w:rsid w:val="007823E8"/>
    <w:rsid w:val="0078516E"/>
    <w:rsid w:val="007869CA"/>
    <w:rsid w:val="00790D52"/>
    <w:rsid w:val="00794375"/>
    <w:rsid w:val="00794583"/>
    <w:rsid w:val="007A3E35"/>
    <w:rsid w:val="007A3EBD"/>
    <w:rsid w:val="007A603D"/>
    <w:rsid w:val="007A6194"/>
    <w:rsid w:val="007B096D"/>
    <w:rsid w:val="007B2D53"/>
    <w:rsid w:val="007B6A0E"/>
    <w:rsid w:val="007B6A3D"/>
    <w:rsid w:val="007C0112"/>
    <w:rsid w:val="007C0314"/>
    <w:rsid w:val="007D21FF"/>
    <w:rsid w:val="007D4C6D"/>
    <w:rsid w:val="007D64E6"/>
    <w:rsid w:val="007E052D"/>
    <w:rsid w:val="007E0A93"/>
    <w:rsid w:val="007E286D"/>
    <w:rsid w:val="007E4320"/>
    <w:rsid w:val="007F3889"/>
    <w:rsid w:val="007F4C27"/>
    <w:rsid w:val="007F76E7"/>
    <w:rsid w:val="00801BCE"/>
    <w:rsid w:val="00802D33"/>
    <w:rsid w:val="00802EE0"/>
    <w:rsid w:val="00805B72"/>
    <w:rsid w:val="0080652D"/>
    <w:rsid w:val="0081099B"/>
    <w:rsid w:val="008112CA"/>
    <w:rsid w:val="00811F25"/>
    <w:rsid w:val="008135F1"/>
    <w:rsid w:val="00813910"/>
    <w:rsid w:val="00813E3B"/>
    <w:rsid w:val="008173DA"/>
    <w:rsid w:val="008265CC"/>
    <w:rsid w:val="00831F85"/>
    <w:rsid w:val="008323A8"/>
    <w:rsid w:val="00832A06"/>
    <w:rsid w:val="00837FBE"/>
    <w:rsid w:val="00842DBC"/>
    <w:rsid w:val="0084352D"/>
    <w:rsid w:val="008515B1"/>
    <w:rsid w:val="00852EFE"/>
    <w:rsid w:val="00855B3E"/>
    <w:rsid w:val="0085667D"/>
    <w:rsid w:val="008653D3"/>
    <w:rsid w:val="00866FBB"/>
    <w:rsid w:val="00867728"/>
    <w:rsid w:val="008708BD"/>
    <w:rsid w:val="00870E80"/>
    <w:rsid w:val="00872341"/>
    <w:rsid w:val="008727A3"/>
    <w:rsid w:val="00873A57"/>
    <w:rsid w:val="0087585E"/>
    <w:rsid w:val="0087690B"/>
    <w:rsid w:val="00876E6A"/>
    <w:rsid w:val="0087749D"/>
    <w:rsid w:val="0088015E"/>
    <w:rsid w:val="00880A8B"/>
    <w:rsid w:val="008820FD"/>
    <w:rsid w:val="008828EE"/>
    <w:rsid w:val="00884E70"/>
    <w:rsid w:val="008869BF"/>
    <w:rsid w:val="00897282"/>
    <w:rsid w:val="00897E1B"/>
    <w:rsid w:val="008A1282"/>
    <w:rsid w:val="008A32E7"/>
    <w:rsid w:val="008A543D"/>
    <w:rsid w:val="008A5864"/>
    <w:rsid w:val="008A6BC5"/>
    <w:rsid w:val="008A6CC3"/>
    <w:rsid w:val="008A71C6"/>
    <w:rsid w:val="008A7DE5"/>
    <w:rsid w:val="008B113D"/>
    <w:rsid w:val="008B2FAC"/>
    <w:rsid w:val="008B3879"/>
    <w:rsid w:val="008B407B"/>
    <w:rsid w:val="008B66C8"/>
    <w:rsid w:val="008C2088"/>
    <w:rsid w:val="008C7142"/>
    <w:rsid w:val="008D0222"/>
    <w:rsid w:val="008D2EC8"/>
    <w:rsid w:val="008D4379"/>
    <w:rsid w:val="008D44E3"/>
    <w:rsid w:val="008D537C"/>
    <w:rsid w:val="008D6FEA"/>
    <w:rsid w:val="008E04ED"/>
    <w:rsid w:val="008E072C"/>
    <w:rsid w:val="008E07D8"/>
    <w:rsid w:val="008E209E"/>
    <w:rsid w:val="008E3437"/>
    <w:rsid w:val="008E3814"/>
    <w:rsid w:val="008E552E"/>
    <w:rsid w:val="008E5AEB"/>
    <w:rsid w:val="008E6014"/>
    <w:rsid w:val="008E68C6"/>
    <w:rsid w:val="008E6B05"/>
    <w:rsid w:val="008F5CA3"/>
    <w:rsid w:val="008F67FA"/>
    <w:rsid w:val="00902FA5"/>
    <w:rsid w:val="0090629D"/>
    <w:rsid w:val="009127E0"/>
    <w:rsid w:val="009147B6"/>
    <w:rsid w:val="009149CC"/>
    <w:rsid w:val="009211D3"/>
    <w:rsid w:val="00921867"/>
    <w:rsid w:val="00923B0D"/>
    <w:rsid w:val="00923D62"/>
    <w:rsid w:val="009254A8"/>
    <w:rsid w:val="00934466"/>
    <w:rsid w:val="009345A7"/>
    <w:rsid w:val="009349DD"/>
    <w:rsid w:val="00935E95"/>
    <w:rsid w:val="00937743"/>
    <w:rsid w:val="00940613"/>
    <w:rsid w:val="00940A5C"/>
    <w:rsid w:val="00941ED6"/>
    <w:rsid w:val="00942050"/>
    <w:rsid w:val="00942790"/>
    <w:rsid w:val="00942F60"/>
    <w:rsid w:val="00944ED1"/>
    <w:rsid w:val="00945ABA"/>
    <w:rsid w:val="00951809"/>
    <w:rsid w:val="00952EAC"/>
    <w:rsid w:val="009533F5"/>
    <w:rsid w:val="00956727"/>
    <w:rsid w:val="00957FEE"/>
    <w:rsid w:val="009618A2"/>
    <w:rsid w:val="00962203"/>
    <w:rsid w:val="00962519"/>
    <w:rsid w:val="0096292E"/>
    <w:rsid w:val="009635FB"/>
    <w:rsid w:val="009712A7"/>
    <w:rsid w:val="00972479"/>
    <w:rsid w:val="00972E93"/>
    <w:rsid w:val="0097454D"/>
    <w:rsid w:val="00976374"/>
    <w:rsid w:val="00976A32"/>
    <w:rsid w:val="009A1361"/>
    <w:rsid w:val="009A2008"/>
    <w:rsid w:val="009A46BE"/>
    <w:rsid w:val="009A4DD8"/>
    <w:rsid w:val="009A53D7"/>
    <w:rsid w:val="009A7C90"/>
    <w:rsid w:val="009A7D08"/>
    <w:rsid w:val="009B13CD"/>
    <w:rsid w:val="009B23C1"/>
    <w:rsid w:val="009B78E4"/>
    <w:rsid w:val="009C4DBD"/>
    <w:rsid w:val="009D34CF"/>
    <w:rsid w:val="009D51F2"/>
    <w:rsid w:val="009E2833"/>
    <w:rsid w:val="009E64C2"/>
    <w:rsid w:val="009E7660"/>
    <w:rsid w:val="009F0B39"/>
    <w:rsid w:val="009F11DC"/>
    <w:rsid w:val="009F1A94"/>
    <w:rsid w:val="009F6FE0"/>
    <w:rsid w:val="00A030F2"/>
    <w:rsid w:val="00A0583F"/>
    <w:rsid w:val="00A177EE"/>
    <w:rsid w:val="00A20773"/>
    <w:rsid w:val="00A21D95"/>
    <w:rsid w:val="00A25B97"/>
    <w:rsid w:val="00A26660"/>
    <w:rsid w:val="00A26BC7"/>
    <w:rsid w:val="00A27F73"/>
    <w:rsid w:val="00A315B0"/>
    <w:rsid w:val="00A31B00"/>
    <w:rsid w:val="00A320E2"/>
    <w:rsid w:val="00A358A8"/>
    <w:rsid w:val="00A3660A"/>
    <w:rsid w:val="00A37134"/>
    <w:rsid w:val="00A40990"/>
    <w:rsid w:val="00A40A2F"/>
    <w:rsid w:val="00A4638B"/>
    <w:rsid w:val="00A469DE"/>
    <w:rsid w:val="00A52E65"/>
    <w:rsid w:val="00A54C32"/>
    <w:rsid w:val="00A57E6B"/>
    <w:rsid w:val="00A600CB"/>
    <w:rsid w:val="00A6057E"/>
    <w:rsid w:val="00A64B81"/>
    <w:rsid w:val="00A64FAE"/>
    <w:rsid w:val="00A72C81"/>
    <w:rsid w:val="00A73EB8"/>
    <w:rsid w:val="00A75AC0"/>
    <w:rsid w:val="00A7662A"/>
    <w:rsid w:val="00A83DD2"/>
    <w:rsid w:val="00A84C6E"/>
    <w:rsid w:val="00A84FEE"/>
    <w:rsid w:val="00A86342"/>
    <w:rsid w:val="00A864DC"/>
    <w:rsid w:val="00A8674D"/>
    <w:rsid w:val="00A86B98"/>
    <w:rsid w:val="00A91663"/>
    <w:rsid w:val="00A933FF"/>
    <w:rsid w:val="00A9364B"/>
    <w:rsid w:val="00A95017"/>
    <w:rsid w:val="00A95F67"/>
    <w:rsid w:val="00A97A50"/>
    <w:rsid w:val="00AA0768"/>
    <w:rsid w:val="00AB3843"/>
    <w:rsid w:val="00AB67F0"/>
    <w:rsid w:val="00AC18BD"/>
    <w:rsid w:val="00AC23FA"/>
    <w:rsid w:val="00AC4341"/>
    <w:rsid w:val="00AC7040"/>
    <w:rsid w:val="00AD0412"/>
    <w:rsid w:val="00AD5DCA"/>
    <w:rsid w:val="00AD61DB"/>
    <w:rsid w:val="00AE123F"/>
    <w:rsid w:val="00AE1C8B"/>
    <w:rsid w:val="00AE2A05"/>
    <w:rsid w:val="00AE546F"/>
    <w:rsid w:val="00AF094A"/>
    <w:rsid w:val="00AF7A17"/>
    <w:rsid w:val="00AF7DF3"/>
    <w:rsid w:val="00B01EAC"/>
    <w:rsid w:val="00B10E3D"/>
    <w:rsid w:val="00B11D88"/>
    <w:rsid w:val="00B1389C"/>
    <w:rsid w:val="00B14287"/>
    <w:rsid w:val="00B23965"/>
    <w:rsid w:val="00B309C0"/>
    <w:rsid w:val="00B40063"/>
    <w:rsid w:val="00B45B88"/>
    <w:rsid w:val="00B5400A"/>
    <w:rsid w:val="00B54293"/>
    <w:rsid w:val="00B55AA2"/>
    <w:rsid w:val="00B55C86"/>
    <w:rsid w:val="00B61B4E"/>
    <w:rsid w:val="00B76972"/>
    <w:rsid w:val="00B8015E"/>
    <w:rsid w:val="00B8092D"/>
    <w:rsid w:val="00B80C3B"/>
    <w:rsid w:val="00B82A75"/>
    <w:rsid w:val="00B8576A"/>
    <w:rsid w:val="00B91E36"/>
    <w:rsid w:val="00B926F1"/>
    <w:rsid w:val="00B953C3"/>
    <w:rsid w:val="00B95437"/>
    <w:rsid w:val="00B97894"/>
    <w:rsid w:val="00BA1674"/>
    <w:rsid w:val="00BA16A1"/>
    <w:rsid w:val="00BA1CD3"/>
    <w:rsid w:val="00BA29D0"/>
    <w:rsid w:val="00BA36C3"/>
    <w:rsid w:val="00BB05ED"/>
    <w:rsid w:val="00BB1F1A"/>
    <w:rsid w:val="00BB3391"/>
    <w:rsid w:val="00BB7B69"/>
    <w:rsid w:val="00BC0042"/>
    <w:rsid w:val="00BC0064"/>
    <w:rsid w:val="00BC2599"/>
    <w:rsid w:val="00BC6516"/>
    <w:rsid w:val="00BC680B"/>
    <w:rsid w:val="00BD42F7"/>
    <w:rsid w:val="00BD4300"/>
    <w:rsid w:val="00BE262D"/>
    <w:rsid w:val="00BE2654"/>
    <w:rsid w:val="00BE517C"/>
    <w:rsid w:val="00BE5DDA"/>
    <w:rsid w:val="00BE61F7"/>
    <w:rsid w:val="00BE765C"/>
    <w:rsid w:val="00BF3CA9"/>
    <w:rsid w:val="00BF754C"/>
    <w:rsid w:val="00C0193A"/>
    <w:rsid w:val="00C02D31"/>
    <w:rsid w:val="00C03ADD"/>
    <w:rsid w:val="00C03F11"/>
    <w:rsid w:val="00C1115C"/>
    <w:rsid w:val="00C14484"/>
    <w:rsid w:val="00C14B1E"/>
    <w:rsid w:val="00C248E7"/>
    <w:rsid w:val="00C30D71"/>
    <w:rsid w:val="00C34F0C"/>
    <w:rsid w:val="00C45836"/>
    <w:rsid w:val="00C46169"/>
    <w:rsid w:val="00C5021B"/>
    <w:rsid w:val="00C50B55"/>
    <w:rsid w:val="00C54F28"/>
    <w:rsid w:val="00C55699"/>
    <w:rsid w:val="00C556B9"/>
    <w:rsid w:val="00C568B1"/>
    <w:rsid w:val="00C60E05"/>
    <w:rsid w:val="00C61F9F"/>
    <w:rsid w:val="00C63004"/>
    <w:rsid w:val="00C630F0"/>
    <w:rsid w:val="00C63724"/>
    <w:rsid w:val="00C63D4F"/>
    <w:rsid w:val="00C67791"/>
    <w:rsid w:val="00C6786C"/>
    <w:rsid w:val="00C7260C"/>
    <w:rsid w:val="00C72B6C"/>
    <w:rsid w:val="00C73D9D"/>
    <w:rsid w:val="00C80973"/>
    <w:rsid w:val="00C8176E"/>
    <w:rsid w:val="00C81FB3"/>
    <w:rsid w:val="00C857AA"/>
    <w:rsid w:val="00C9010D"/>
    <w:rsid w:val="00C95542"/>
    <w:rsid w:val="00C9632B"/>
    <w:rsid w:val="00C96A53"/>
    <w:rsid w:val="00C96CF0"/>
    <w:rsid w:val="00CA010E"/>
    <w:rsid w:val="00CA0E21"/>
    <w:rsid w:val="00CA17D2"/>
    <w:rsid w:val="00CA6251"/>
    <w:rsid w:val="00CA7CA7"/>
    <w:rsid w:val="00CB20E4"/>
    <w:rsid w:val="00CB2A1D"/>
    <w:rsid w:val="00CB3644"/>
    <w:rsid w:val="00CC4094"/>
    <w:rsid w:val="00CC4170"/>
    <w:rsid w:val="00CC539D"/>
    <w:rsid w:val="00CC5EF9"/>
    <w:rsid w:val="00CD0173"/>
    <w:rsid w:val="00CD1AB4"/>
    <w:rsid w:val="00CD1CAB"/>
    <w:rsid w:val="00CE2537"/>
    <w:rsid w:val="00CE5E69"/>
    <w:rsid w:val="00CE78D3"/>
    <w:rsid w:val="00CF3393"/>
    <w:rsid w:val="00CF4543"/>
    <w:rsid w:val="00CF57D9"/>
    <w:rsid w:val="00CF5E44"/>
    <w:rsid w:val="00CF7B0F"/>
    <w:rsid w:val="00D0057F"/>
    <w:rsid w:val="00D01EC9"/>
    <w:rsid w:val="00D033EA"/>
    <w:rsid w:val="00D04A7C"/>
    <w:rsid w:val="00D079A5"/>
    <w:rsid w:val="00D13961"/>
    <w:rsid w:val="00D14995"/>
    <w:rsid w:val="00D2070E"/>
    <w:rsid w:val="00D20CA0"/>
    <w:rsid w:val="00D210F0"/>
    <w:rsid w:val="00D233A5"/>
    <w:rsid w:val="00D26C90"/>
    <w:rsid w:val="00D37E86"/>
    <w:rsid w:val="00D40939"/>
    <w:rsid w:val="00D435DC"/>
    <w:rsid w:val="00D45D90"/>
    <w:rsid w:val="00D4626E"/>
    <w:rsid w:val="00D50DF0"/>
    <w:rsid w:val="00D52089"/>
    <w:rsid w:val="00D53154"/>
    <w:rsid w:val="00D535E1"/>
    <w:rsid w:val="00D5491E"/>
    <w:rsid w:val="00D5568F"/>
    <w:rsid w:val="00D56F77"/>
    <w:rsid w:val="00D6574E"/>
    <w:rsid w:val="00D74566"/>
    <w:rsid w:val="00D746C5"/>
    <w:rsid w:val="00D74CDA"/>
    <w:rsid w:val="00D74CDD"/>
    <w:rsid w:val="00D75FC5"/>
    <w:rsid w:val="00D76EB7"/>
    <w:rsid w:val="00D778F4"/>
    <w:rsid w:val="00D81248"/>
    <w:rsid w:val="00D81EDE"/>
    <w:rsid w:val="00D82672"/>
    <w:rsid w:val="00D861FE"/>
    <w:rsid w:val="00D875BB"/>
    <w:rsid w:val="00D95C09"/>
    <w:rsid w:val="00D964A1"/>
    <w:rsid w:val="00DA2962"/>
    <w:rsid w:val="00DA2E53"/>
    <w:rsid w:val="00DA4333"/>
    <w:rsid w:val="00DA67B5"/>
    <w:rsid w:val="00DB1CA1"/>
    <w:rsid w:val="00DB267F"/>
    <w:rsid w:val="00DB3D8A"/>
    <w:rsid w:val="00DC1E17"/>
    <w:rsid w:val="00DC338A"/>
    <w:rsid w:val="00DC5F2C"/>
    <w:rsid w:val="00DD6050"/>
    <w:rsid w:val="00DD6FBF"/>
    <w:rsid w:val="00DE0263"/>
    <w:rsid w:val="00DE3804"/>
    <w:rsid w:val="00DE4BD5"/>
    <w:rsid w:val="00DE6118"/>
    <w:rsid w:val="00DF166B"/>
    <w:rsid w:val="00DF7920"/>
    <w:rsid w:val="00E0133E"/>
    <w:rsid w:val="00E0471F"/>
    <w:rsid w:val="00E05167"/>
    <w:rsid w:val="00E07E64"/>
    <w:rsid w:val="00E13EFD"/>
    <w:rsid w:val="00E20E43"/>
    <w:rsid w:val="00E235BE"/>
    <w:rsid w:val="00E23D96"/>
    <w:rsid w:val="00E3265D"/>
    <w:rsid w:val="00E36577"/>
    <w:rsid w:val="00E42FA1"/>
    <w:rsid w:val="00E531A9"/>
    <w:rsid w:val="00E53E8D"/>
    <w:rsid w:val="00E53F7B"/>
    <w:rsid w:val="00E64FCC"/>
    <w:rsid w:val="00E7047B"/>
    <w:rsid w:val="00E715A7"/>
    <w:rsid w:val="00E71749"/>
    <w:rsid w:val="00E72999"/>
    <w:rsid w:val="00E77F51"/>
    <w:rsid w:val="00E8147B"/>
    <w:rsid w:val="00E831D9"/>
    <w:rsid w:val="00E86E85"/>
    <w:rsid w:val="00E87317"/>
    <w:rsid w:val="00E90F73"/>
    <w:rsid w:val="00E9710F"/>
    <w:rsid w:val="00E97794"/>
    <w:rsid w:val="00EA7987"/>
    <w:rsid w:val="00EA7B66"/>
    <w:rsid w:val="00EB0C34"/>
    <w:rsid w:val="00EB513B"/>
    <w:rsid w:val="00EB5ED5"/>
    <w:rsid w:val="00EC4197"/>
    <w:rsid w:val="00EC5B79"/>
    <w:rsid w:val="00EC5B83"/>
    <w:rsid w:val="00EC6967"/>
    <w:rsid w:val="00ED0933"/>
    <w:rsid w:val="00ED139A"/>
    <w:rsid w:val="00ED2A6C"/>
    <w:rsid w:val="00ED7BDF"/>
    <w:rsid w:val="00EE08AB"/>
    <w:rsid w:val="00EE1233"/>
    <w:rsid w:val="00EE19C8"/>
    <w:rsid w:val="00EE1D97"/>
    <w:rsid w:val="00EE7682"/>
    <w:rsid w:val="00EE7D6D"/>
    <w:rsid w:val="00EF0BBB"/>
    <w:rsid w:val="00EF12A2"/>
    <w:rsid w:val="00EF13E0"/>
    <w:rsid w:val="00EF54F6"/>
    <w:rsid w:val="00EF64DF"/>
    <w:rsid w:val="00EF68A8"/>
    <w:rsid w:val="00EF7567"/>
    <w:rsid w:val="00F00DA3"/>
    <w:rsid w:val="00F016CF"/>
    <w:rsid w:val="00F01E21"/>
    <w:rsid w:val="00F02A55"/>
    <w:rsid w:val="00F05B2D"/>
    <w:rsid w:val="00F06D87"/>
    <w:rsid w:val="00F0711E"/>
    <w:rsid w:val="00F0772F"/>
    <w:rsid w:val="00F127EF"/>
    <w:rsid w:val="00F13901"/>
    <w:rsid w:val="00F15E97"/>
    <w:rsid w:val="00F20285"/>
    <w:rsid w:val="00F2029D"/>
    <w:rsid w:val="00F22C04"/>
    <w:rsid w:val="00F236AD"/>
    <w:rsid w:val="00F24633"/>
    <w:rsid w:val="00F257EF"/>
    <w:rsid w:val="00F25BD0"/>
    <w:rsid w:val="00F266F7"/>
    <w:rsid w:val="00F267B3"/>
    <w:rsid w:val="00F3038A"/>
    <w:rsid w:val="00F30471"/>
    <w:rsid w:val="00F41A01"/>
    <w:rsid w:val="00F42001"/>
    <w:rsid w:val="00F420EE"/>
    <w:rsid w:val="00F439CB"/>
    <w:rsid w:val="00F44031"/>
    <w:rsid w:val="00F4454B"/>
    <w:rsid w:val="00F47A26"/>
    <w:rsid w:val="00F50357"/>
    <w:rsid w:val="00F50796"/>
    <w:rsid w:val="00F54F9A"/>
    <w:rsid w:val="00F6620F"/>
    <w:rsid w:val="00F67F72"/>
    <w:rsid w:val="00F71320"/>
    <w:rsid w:val="00F75ED9"/>
    <w:rsid w:val="00F77564"/>
    <w:rsid w:val="00F95185"/>
    <w:rsid w:val="00FA0464"/>
    <w:rsid w:val="00FA21D4"/>
    <w:rsid w:val="00FA4EEC"/>
    <w:rsid w:val="00FA6C7F"/>
    <w:rsid w:val="00FB44F7"/>
    <w:rsid w:val="00FB46EF"/>
    <w:rsid w:val="00FB6344"/>
    <w:rsid w:val="00FC3A20"/>
    <w:rsid w:val="00FC4445"/>
    <w:rsid w:val="00FC4E89"/>
    <w:rsid w:val="00FD1C79"/>
    <w:rsid w:val="00FD650E"/>
    <w:rsid w:val="00FD719A"/>
    <w:rsid w:val="00FD7934"/>
    <w:rsid w:val="00FE002D"/>
    <w:rsid w:val="00FE1634"/>
    <w:rsid w:val="00FE700D"/>
    <w:rsid w:val="00FF3126"/>
    <w:rsid w:val="00FF510C"/>
    <w:rsid w:val="00FF5842"/>
    <w:rsid w:val="00FF5A92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3FE71F0-C2F0-498B-BBE4-175A39DE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734795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34795"/>
    <w:rPr>
      <w:rFonts w:eastAsiaTheme="minorEastAsia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54C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8355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0280B"/>
    <w:rPr>
      <w:color w:val="6B9F25" w:themeColor="hyperlink"/>
      <w:u w:val="single"/>
    </w:rPr>
  </w:style>
  <w:style w:type="table" w:styleId="Grilledutableau">
    <w:name w:val="Table Grid"/>
    <w:basedOn w:val="TableauNormal"/>
    <w:uiPriority w:val="39"/>
    <w:rsid w:val="00D50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rsid w:val="00D50D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53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0C7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BC0064"/>
    <w:rPr>
      <w:color w:val="B26B0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B5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AF1"/>
  </w:style>
  <w:style w:type="paragraph" w:styleId="Pieddepage">
    <w:name w:val="footer"/>
    <w:basedOn w:val="Normal"/>
    <w:link w:val="PieddepageCar"/>
    <w:uiPriority w:val="99"/>
    <w:unhideWhenUsed/>
    <w:rsid w:val="001B5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7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estelle.laurent@credixi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stelle.laurent@credixia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redixi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égral">
  <a:themeElements>
    <a:clrScheme name="Inté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é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é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COMMUNIQUE DE PRESSE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128116-A2E1-46B9-9279-F8ACB80D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RENTREE 2016 : La baisse des taux continue</vt:lpstr>
    </vt:vector>
  </TitlesOfParts>
  <Company> 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RENTREE 2016 : La baisse des taux continue</dc:title>
  <dc:subject/>
  <dc:creator>Estelle LAURENT</dc:creator>
  <cp:keywords/>
  <dc:description/>
  <cp:lastModifiedBy>Bérénice VEILLET</cp:lastModifiedBy>
  <cp:revision>77</cp:revision>
  <cp:lastPrinted>2016-11-21T15:53:00Z</cp:lastPrinted>
  <dcterms:created xsi:type="dcterms:W3CDTF">2017-06-26T10:07:00Z</dcterms:created>
  <dcterms:modified xsi:type="dcterms:W3CDTF">2017-07-05T07:57:00Z</dcterms:modified>
</cp:coreProperties>
</file>